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№1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proofErr w:type="gramStart"/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</w:t>
      </w:r>
      <w:proofErr w:type="gramEnd"/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4B7AC3" w:rsidRPr="004B7AC3" w:rsidRDefault="00EC58E9" w:rsidP="004B7AC3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4B7AC3" w:rsidRPr="004B7AC3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4B7AC3" w:rsidRPr="004B7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A475C3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Заявок – 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832AF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024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A475C3" w:rsidRPr="00A475C3">
        <w:rPr>
          <w:rFonts w:ascii="Times New Roman" w:eastAsia="Times New Roman" w:hAnsi="Times New Roman" w:cs="Times New Roman"/>
          <w:sz w:val="28"/>
          <w:szCs w:val="28"/>
          <w:lang w:eastAsia="ru-RU"/>
        </w:rPr>
        <w:t>«30» апреля     2018 года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., начиная с 10:00 (время московское). Организатор запроса предложений вправе,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>8 329 624,54</w:t>
      </w:r>
      <w:r w:rsidRPr="00EC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4B7AC3"/>
    <w:rsid w:val="005832AF"/>
    <w:rsid w:val="0072402D"/>
    <w:rsid w:val="00A475C3"/>
    <w:rsid w:val="00AC52A1"/>
    <w:rsid w:val="00CB5B13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13</cp:revision>
  <cp:lastPrinted>2018-02-15T07:19:00Z</cp:lastPrinted>
  <dcterms:created xsi:type="dcterms:W3CDTF">2017-07-26T01:48:00Z</dcterms:created>
  <dcterms:modified xsi:type="dcterms:W3CDTF">2018-04-13T01:20:00Z</dcterms:modified>
</cp:coreProperties>
</file>