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9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1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921D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«</w:t>
      </w:r>
      <w:r w:rsidR="00E5522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23</w:t>
      </w:r>
      <w:r w:rsidRPr="00921D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»</w:t>
      </w:r>
      <w:r w:rsidR="00E5522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апреля </w:t>
      </w:r>
      <w:r w:rsidRPr="00921D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201</w:t>
      </w:r>
      <w:r w:rsidR="005832AF" w:rsidRPr="00921D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8</w:t>
      </w:r>
      <w:r w:rsidRPr="00921D9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г.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E55227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приема Заявок – «</w:t>
      </w:r>
      <w:r w:rsidR="00E55227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2AF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55227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E55227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55227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6A1D2C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D98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0024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5227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D2C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55227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921D98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2C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5227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начиная с 10:00 (время московское). Организатор запроса предложений вправе,</w:t>
      </w:r>
      <w:bookmarkStart w:id="0" w:name="_GoBack"/>
      <w:bookmarkEnd w:id="0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9A118B">
        <w:rPr>
          <w:rFonts w:ascii="Times New Roman" w:hAnsi="Times New Roman" w:cs="Times New Roman"/>
          <w:sz w:val="28"/>
          <w:szCs w:val="24"/>
        </w:rPr>
        <w:t>8 473 659,35</w:t>
      </w:r>
      <w:r w:rsidR="00983859">
        <w:rPr>
          <w:rFonts w:ascii="Times New Roman" w:hAnsi="Times New Roman" w:cs="Times New Roman"/>
          <w:sz w:val="28"/>
          <w:szCs w:val="24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370D4C"/>
    <w:rsid w:val="004D2010"/>
    <w:rsid w:val="0057328D"/>
    <w:rsid w:val="005832AF"/>
    <w:rsid w:val="006A1D2C"/>
    <w:rsid w:val="0072402D"/>
    <w:rsid w:val="00921D98"/>
    <w:rsid w:val="00983859"/>
    <w:rsid w:val="009A118B"/>
    <w:rsid w:val="00AC52A1"/>
    <w:rsid w:val="00CB5B13"/>
    <w:rsid w:val="00E55227"/>
    <w:rsid w:val="00E81BE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19</cp:revision>
  <cp:lastPrinted>2018-04-13T01:27:00Z</cp:lastPrinted>
  <dcterms:created xsi:type="dcterms:W3CDTF">2017-07-26T01:48:00Z</dcterms:created>
  <dcterms:modified xsi:type="dcterms:W3CDTF">2018-04-23T06:47:00Z</dcterms:modified>
</cp:coreProperties>
</file>