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272B6">
            <w:pPr>
              <w:snapToGrid w:val="0"/>
              <w:jc w:val="right"/>
              <w:rPr>
                <w:bCs/>
                <w:color w:val="000000"/>
              </w:rPr>
            </w:pPr>
            <w:r>
              <w:rPr>
                <w:bCs/>
              </w:rPr>
              <w:t>«</w:t>
            </w:r>
            <w:r w:rsidR="003272B6">
              <w:rPr>
                <w:bCs/>
              </w:rPr>
              <w:t>__</w:t>
            </w:r>
            <w:r w:rsidR="00F03FC2">
              <w:rPr>
                <w:bCs/>
              </w:rPr>
              <w:t xml:space="preserve">» </w:t>
            </w:r>
            <w:r w:rsidR="003272B6">
              <w:rPr>
                <w:bCs/>
              </w:rPr>
              <w:t>дека</w:t>
            </w:r>
            <w:r w:rsidR="00F03FC2">
              <w:rPr>
                <w:bCs/>
              </w:rPr>
              <w:t>бря 2019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3790A" w:rsidRDefault="00F03FC2" w:rsidP="00B32937">
      <w:pPr>
        <w:spacing w:after="120"/>
        <w:jc w:val="center"/>
        <w:rPr>
          <w:b/>
          <w:bCs/>
        </w:rPr>
      </w:pPr>
      <w:r w:rsidRPr="00F03FC2">
        <w:rPr>
          <w:color w:val="000000"/>
          <w:sz w:val="28"/>
          <w:szCs w:val="20"/>
        </w:rPr>
        <w:t xml:space="preserve">Выполнение </w:t>
      </w:r>
      <w:r w:rsidR="003272B6" w:rsidRPr="003272B6">
        <w:rPr>
          <w:color w:val="000000"/>
          <w:sz w:val="28"/>
          <w:szCs w:val="20"/>
        </w:rPr>
        <w:t>работ для технологического присоединения потребителей  (СМР) лот №1</w:t>
      </w:r>
      <w:r w:rsidR="00CD787D">
        <w:rPr>
          <w:color w:val="000000"/>
          <w:sz w:val="28"/>
          <w:szCs w:val="20"/>
        </w:rPr>
        <w:t>6</w:t>
      </w:r>
      <w:r w:rsidR="000A2F4F">
        <w:rPr>
          <w:color w:val="000000"/>
          <w:sz w:val="28"/>
          <w:szCs w:val="20"/>
        </w:rPr>
        <w:t xml:space="preserve"> № </w:t>
      </w:r>
      <w:r w:rsidR="003272B6" w:rsidRPr="003272B6">
        <w:rPr>
          <w:rFonts w:ascii="Times New Roman CYR" w:hAnsi="Times New Roman CYR"/>
          <w:sz w:val="28"/>
          <w:szCs w:val="28"/>
        </w:rPr>
        <w:t>19.2-11/1.1-001</w:t>
      </w:r>
      <w:r w:rsidR="008A0CAD">
        <w:rPr>
          <w:rFonts w:ascii="Times New Roman CYR" w:hAnsi="Times New Roman CYR"/>
          <w:sz w:val="28"/>
          <w:szCs w:val="28"/>
        </w:rPr>
        <w:t>2</w:t>
      </w:r>
      <w:bookmarkStart w:id="0" w:name="_GoBack"/>
      <w:bookmarkEnd w:id="0"/>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2019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35723F">
          <w:rPr>
            <w:noProof/>
            <w:webHidden/>
          </w:rPr>
          <w:t>2</w:t>
        </w:r>
        <w:r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35723F">
          <w:rPr>
            <w:noProof/>
            <w:webHidden/>
          </w:rPr>
          <w:t>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35723F">
          <w:rPr>
            <w:noProof/>
            <w:webHidden/>
          </w:rPr>
          <w:t>5</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35723F">
          <w:rPr>
            <w:noProof/>
            <w:webHidden/>
          </w:rPr>
          <w:t>5</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35723F">
          <w:rPr>
            <w:noProof/>
            <w:webHidden/>
          </w:rPr>
          <w:t>6</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35723F">
          <w:rPr>
            <w:noProof/>
            <w:webHidden/>
          </w:rPr>
          <w:t>6</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35723F">
          <w:rPr>
            <w:noProof/>
            <w:webHidden/>
          </w:rPr>
          <w:t>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35723F">
          <w:rPr>
            <w:noProof/>
            <w:webHidden/>
          </w:rPr>
          <w:t>8</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35723F">
          <w:rPr>
            <w:noProof/>
            <w:webHidden/>
          </w:rPr>
          <w:t>9</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35723F">
          <w:rPr>
            <w:noProof/>
            <w:webHidden/>
          </w:rPr>
          <w:t>10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35723F">
          <w:rPr>
            <w:noProof/>
            <w:webHidden/>
          </w:rPr>
          <w:t>11</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35723F">
          <w:rPr>
            <w:noProof/>
            <w:webHidden/>
          </w:rPr>
          <w:t>13</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35723F">
          <w:rPr>
            <w:noProof/>
            <w:webHidden/>
          </w:rPr>
          <w:t>14</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35723F">
          <w:rPr>
            <w:noProof/>
            <w:webHidden/>
          </w:rPr>
          <w:t>15</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35723F">
          <w:rPr>
            <w:noProof/>
            <w:webHidden/>
          </w:rPr>
          <w:t>16</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35723F">
          <w:rPr>
            <w:noProof/>
            <w:webHidden/>
          </w:rPr>
          <w:t>16</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35723F">
          <w:rPr>
            <w:noProof/>
            <w:webHidden/>
          </w:rPr>
          <w:t>17</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35723F">
          <w:rPr>
            <w:noProof/>
            <w:webHidden/>
          </w:rPr>
          <w:t>19</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35723F">
          <w:rPr>
            <w:noProof/>
            <w:webHidden/>
          </w:rPr>
          <w:t>19</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35723F">
          <w:rPr>
            <w:noProof/>
            <w:webHidden/>
          </w:rPr>
          <w:t>20</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35723F">
          <w:rPr>
            <w:noProof/>
            <w:webHidden/>
          </w:rPr>
          <w:t>21</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35723F">
          <w:rPr>
            <w:noProof/>
            <w:webHidden/>
          </w:rPr>
          <w:t>22</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35723F">
          <w:rPr>
            <w:noProof/>
            <w:webHidden/>
          </w:rPr>
          <w:t>23</w:t>
        </w:r>
        <w:r w:rsidR="00E631D2" w:rsidRPr="0043790A">
          <w:rPr>
            <w:noProof/>
            <w:webHidden/>
          </w:rPr>
          <w:fldChar w:fldCharType="end"/>
        </w:r>
      </w:hyperlink>
    </w:p>
    <w:p w:rsidR="00054526" w:rsidRPr="0043790A" w:rsidRDefault="0090475F">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35723F">
          <w:rPr>
            <w:noProof/>
            <w:webHidden/>
          </w:rPr>
          <w:t>23</w:t>
        </w:r>
        <w:r w:rsidR="00E631D2" w:rsidRPr="0043790A">
          <w:rPr>
            <w:noProof/>
            <w:webHidden/>
          </w:rPr>
          <w:fldChar w:fldCharType="end"/>
        </w:r>
      </w:hyperlink>
    </w:p>
    <w:p w:rsidR="00054526" w:rsidRPr="0043790A"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35723F">
          <w:rPr>
            <w:noProof/>
            <w:webHidden/>
          </w:rPr>
          <w:t>24</w:t>
        </w:r>
        <w:r w:rsidR="00E631D2" w:rsidRPr="0043790A">
          <w:rPr>
            <w:noProof/>
            <w:webHidden/>
          </w:rPr>
          <w:fldChar w:fldCharType="end"/>
        </w:r>
      </w:hyperlink>
    </w:p>
    <w:p w:rsidR="00054526" w:rsidRPr="0043790A" w:rsidRDefault="00904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35723F">
          <w:rPr>
            <w:noProof/>
            <w:webHidden/>
          </w:rPr>
          <w:t>44</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35723F">
          <w:rPr>
            <w:noProof/>
            <w:webHidden/>
          </w:rPr>
          <w:t>44</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35723F">
          <w:rPr>
            <w:noProof/>
            <w:webHidden/>
          </w:rPr>
          <w:t>45</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35723F">
          <w:rPr>
            <w:noProof/>
            <w:webHidden/>
          </w:rPr>
          <w:t>46</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35723F">
          <w:rPr>
            <w:noProof/>
            <w:webHidden/>
          </w:rPr>
          <w:t>49</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35723F">
          <w:rPr>
            <w:noProof/>
            <w:webHidden/>
          </w:rPr>
          <w:t>51</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35723F">
          <w:rPr>
            <w:noProof/>
            <w:webHidden/>
          </w:rPr>
          <w:t>56</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35723F">
          <w:rPr>
            <w:noProof/>
            <w:webHidden/>
          </w:rPr>
          <w:t>59</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35723F">
          <w:rPr>
            <w:noProof/>
            <w:webHidden/>
          </w:rPr>
          <w:t>60</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35723F">
          <w:rPr>
            <w:noProof/>
            <w:webHidden/>
          </w:rPr>
          <w:t>62</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35723F">
          <w:rPr>
            <w:noProof/>
            <w:webHidden/>
          </w:rPr>
          <w:t>66</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35723F">
          <w:rPr>
            <w:noProof/>
            <w:webHidden/>
          </w:rPr>
          <w:t>68</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35723F">
          <w:rPr>
            <w:noProof/>
            <w:webHidden/>
          </w:rPr>
          <w:t>69</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35723F">
          <w:rPr>
            <w:noProof/>
            <w:webHidden/>
          </w:rPr>
          <w:t>79</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35723F">
          <w:rPr>
            <w:noProof/>
            <w:webHidden/>
          </w:rPr>
          <w:t>80</w:t>
        </w:r>
        <w:r w:rsidR="00E631D2" w:rsidRPr="0043790A">
          <w:rPr>
            <w:noProof/>
            <w:webHidden/>
          </w:rPr>
          <w:fldChar w:fldCharType="end"/>
        </w:r>
      </w:hyperlink>
    </w:p>
    <w:p w:rsidR="00054526" w:rsidRPr="0043790A"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35723F">
          <w:rPr>
            <w:noProof/>
            <w:webHidden/>
          </w:rPr>
          <w:t>81</w:t>
        </w:r>
        <w:r w:rsidR="00E631D2" w:rsidRPr="0043790A">
          <w:rPr>
            <w:noProof/>
            <w:webHidden/>
          </w:rPr>
          <w:fldChar w:fldCharType="end"/>
        </w:r>
      </w:hyperlink>
    </w:p>
    <w:p w:rsidR="00054526" w:rsidRDefault="0090475F">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35723F">
          <w:rPr>
            <w:noProof/>
            <w:webHidden/>
          </w:rPr>
          <w:t>82</w:t>
        </w:r>
        <w:r w:rsidR="00E631D2" w:rsidRPr="0043790A">
          <w:rPr>
            <w:noProof/>
            <w:webHidden/>
          </w:rPr>
          <w:fldChar w:fldCharType="end"/>
        </w:r>
      </w:hyperlink>
    </w:p>
    <w:p w:rsidR="00054526" w:rsidRDefault="0090475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35723F">
          <w:rPr>
            <w:noProof/>
            <w:webHidden/>
          </w:rPr>
          <w:t>84</w:t>
        </w:r>
        <w:r w:rsidR="00E631D2">
          <w:rPr>
            <w:noProof/>
            <w:webHidden/>
          </w:rPr>
          <w:fldChar w:fldCharType="end"/>
        </w:r>
      </w:hyperlink>
    </w:p>
    <w:p w:rsidR="00054526" w:rsidRDefault="0090475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35723F">
          <w:rPr>
            <w:noProof/>
            <w:webHidden/>
          </w:rPr>
          <w:t>85</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A31B29" w:rsidRPr="0043790A">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Pr="0043790A">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Pr="0043790A">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A31B29">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A31B29">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A31B29">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A31B29" w:rsidRPr="00A31B29">
              <w:rPr>
                <w:sz w:val="20"/>
                <w:szCs w:val="20"/>
              </w:rPr>
              <w:t>ОБЩИЕ УСЛОВИЯ ПРОВЕДЕНИЯ</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03FC2" w:rsidRDefault="00F03FC2" w:rsidP="00F03FC2">
            <w:r>
              <w:t xml:space="preserve">Наименование Заказчика: </w:t>
            </w:r>
            <w:r>
              <w:rPr>
                <w:bCs/>
                <w:iCs/>
                <w:lang w:eastAsia="ar-SA"/>
              </w:rPr>
              <w:t>акционерное общество «Тываэнерго» (АО «Тываэнерго»).</w:t>
            </w:r>
          </w:p>
          <w:p w:rsidR="00F03FC2" w:rsidRDefault="00F03FC2" w:rsidP="00F03FC2">
            <w:r>
              <w:t xml:space="preserve">Место нахождения и почтовый адрес Заказчика: </w:t>
            </w:r>
            <w:r>
              <w:rPr>
                <w:bCs/>
                <w:lang w:eastAsia="ar-SA"/>
              </w:rPr>
              <w:t>667001, г. Кызыл, ул. Рабочая 4.</w:t>
            </w:r>
          </w:p>
          <w:p w:rsidR="00F03FC2" w:rsidRPr="00CD787D" w:rsidRDefault="00F03FC2" w:rsidP="00F03FC2">
            <w:r>
              <w:rPr>
                <w:lang w:val="en-US"/>
              </w:rPr>
              <w:t>E</w:t>
            </w:r>
            <w:r w:rsidRPr="00CD787D">
              <w:t>-</w:t>
            </w:r>
            <w:r>
              <w:rPr>
                <w:lang w:val="en-US"/>
              </w:rPr>
              <w:t>mail</w:t>
            </w:r>
            <w:r w:rsidRPr="00CD787D">
              <w:t xml:space="preserve">:  </w:t>
            </w:r>
            <w:r>
              <w:rPr>
                <w:lang w:val="en-US"/>
              </w:rPr>
              <w:t>tuvaenergo</w:t>
            </w:r>
            <w:r w:rsidRPr="00CD787D">
              <w:t>@</w:t>
            </w:r>
            <w:r>
              <w:rPr>
                <w:lang w:val="en-US"/>
              </w:rPr>
              <w:t>tuva</w:t>
            </w:r>
            <w:r w:rsidRPr="00CD787D">
              <w:t>.</w:t>
            </w:r>
            <w:r>
              <w:rPr>
                <w:lang w:val="en-US"/>
              </w:rPr>
              <w:t>mrsk</w:t>
            </w:r>
            <w:r w:rsidRPr="00CD787D">
              <w:t>-</w:t>
            </w:r>
            <w:r>
              <w:rPr>
                <w:lang w:val="en-US"/>
              </w:rPr>
              <w:t>sib</w:t>
            </w:r>
            <w:r w:rsidRPr="00CD787D">
              <w:t>.</w:t>
            </w:r>
            <w:r>
              <w:rPr>
                <w:lang w:val="en-US"/>
              </w:rPr>
              <w:t>ru</w:t>
            </w:r>
          </w:p>
          <w:p w:rsidR="00F03FC2" w:rsidRDefault="00F03FC2" w:rsidP="00F03FC2">
            <w:r>
              <w:t>Тел.:  8 (394-22) 9-85-00</w:t>
            </w:r>
          </w:p>
          <w:p w:rsidR="00F03FC2" w:rsidRDefault="00F03FC2" w:rsidP="00F03FC2">
            <w:pPr>
              <w:tabs>
                <w:tab w:val="left" w:pos="851"/>
                <w:tab w:val="left" w:pos="1134"/>
              </w:tabs>
            </w:pPr>
            <w:r>
              <w:t xml:space="preserve">Контактные лица Заказчика: </w:t>
            </w:r>
          </w:p>
          <w:p w:rsidR="00F03FC2" w:rsidRDefault="00F03FC2" w:rsidP="00F03FC2">
            <w:pPr>
              <w:tabs>
                <w:tab w:val="left" w:pos="851"/>
                <w:tab w:val="left" w:pos="1134"/>
              </w:tabs>
            </w:pPr>
            <w:r>
              <w:t>Главный специалист Сектора закупок - Кузнецова Надежда Алексеевна</w:t>
            </w:r>
          </w:p>
          <w:p w:rsidR="00F03FC2" w:rsidRDefault="00F03FC2" w:rsidP="00F03FC2">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F03FC2" w:rsidRDefault="00F03FC2" w:rsidP="00F03FC2">
            <w:pPr>
              <w:tabs>
                <w:tab w:val="left" w:pos="851"/>
                <w:tab w:val="left" w:pos="1134"/>
              </w:tabs>
            </w:pPr>
            <w:r>
              <w:t>Тел.: 8 (394-22) 9-84-43</w:t>
            </w:r>
          </w:p>
          <w:p w:rsidR="00F03FC2" w:rsidRDefault="00F03FC2" w:rsidP="00F03FC2">
            <w:pPr>
              <w:tabs>
                <w:tab w:val="left" w:pos="851"/>
                <w:tab w:val="left" w:pos="1134"/>
              </w:tabs>
            </w:pPr>
            <w:r>
              <w:t xml:space="preserve">Специалист 2 категории Сектора закупок - Власов Владимир Витальевич </w:t>
            </w:r>
          </w:p>
          <w:p w:rsidR="00F03FC2" w:rsidRDefault="00F03FC2" w:rsidP="00F03FC2">
            <w:pPr>
              <w:rPr>
                <w:lang w:val="en-US"/>
              </w:rPr>
            </w:pPr>
            <w:r>
              <w:rPr>
                <w:lang w:val="en-US"/>
              </w:rPr>
              <w:t>E-mail: VlasovVV@tuva.mrsk-sib.ru</w:t>
            </w:r>
          </w:p>
          <w:p w:rsidR="00C90121" w:rsidRPr="00187C12" w:rsidRDefault="00F03FC2" w:rsidP="00F03FC2">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7D35D2">
            <w:pPr>
              <w:spacing w:after="0"/>
              <w:jc w:val="left"/>
            </w:pPr>
            <w:r w:rsidRPr="00F03FC2">
              <w:t>Лот№ 1:</w:t>
            </w:r>
            <w:r w:rsidR="003272B6">
              <w:t xml:space="preserve"> </w:t>
            </w:r>
            <w:r w:rsidR="003272B6" w:rsidRPr="003272B6">
              <w:t>Выполнение  работ для технологического присоединения потребителей (СМР) лот №1</w:t>
            </w:r>
            <w:r w:rsidR="00CD787D">
              <w:t>6</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p>
          <w:p w:rsidR="00425FE8" w:rsidRPr="00D76018" w:rsidRDefault="00425FE8" w:rsidP="00C40080">
            <w:pPr>
              <w:spacing w:after="0"/>
              <w:rPr>
                <w:highlight w:val="green"/>
              </w:rPr>
            </w:pP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заключения договора в течение 6</w:t>
            </w:r>
            <w:r w:rsidRPr="00C36BF2">
              <w:t>0 (</w:t>
            </w:r>
            <w:r w:rsidR="00CD787D">
              <w:t>шестидесяти</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C36BF2" w:rsidRDefault="00425FE8" w:rsidP="00425FE8">
            <w:pPr>
              <w:tabs>
                <w:tab w:val="left" w:pos="708"/>
              </w:tabs>
              <w:autoSpaceDE w:val="0"/>
              <w:autoSpaceDN w:val="0"/>
              <w:spacing w:before="60"/>
              <w:rPr>
                <w:bCs/>
                <w:lang w:eastAsia="ar-SA"/>
              </w:rPr>
            </w:pPr>
            <w:r w:rsidRPr="00C36BF2">
              <w:t xml:space="preserve">Начальная (максимальная) цена договора (цена лота) составляет </w:t>
            </w:r>
            <w:r w:rsidR="00CD787D" w:rsidRPr="00CD787D">
              <w:rPr>
                <w:color w:val="000000"/>
                <w:szCs w:val="20"/>
              </w:rPr>
              <w:t>14 559 856</w:t>
            </w:r>
            <w:r w:rsidRPr="00C36BF2">
              <w:rPr>
                <w:bCs/>
                <w:sz w:val="32"/>
                <w:lang w:eastAsia="ar-SA"/>
              </w:rPr>
              <w:t xml:space="preserve"> </w:t>
            </w:r>
            <w:r w:rsidRPr="00C36BF2">
              <w:rPr>
                <w:bCs/>
                <w:lang w:eastAsia="ar-SA"/>
              </w:rPr>
              <w:t>(</w:t>
            </w:r>
            <w:r w:rsidR="00CD787D">
              <w:rPr>
                <w:bCs/>
                <w:lang w:eastAsia="ar-SA"/>
              </w:rPr>
              <w:t>четырнадцать миллионов пятьсот пятьдесят девять тысяч восемьсот пятьдесят шесть</w:t>
            </w:r>
            <w:r w:rsidRPr="00C36BF2">
              <w:rPr>
                <w:bCs/>
                <w:lang w:eastAsia="ar-SA"/>
              </w:rPr>
              <w:t>)</w:t>
            </w:r>
            <w:r w:rsidR="00C36BF2">
              <w:rPr>
                <w:bCs/>
                <w:lang w:eastAsia="ar-SA"/>
              </w:rPr>
              <w:t xml:space="preserve"> рублей</w:t>
            </w:r>
            <w:r w:rsidRPr="00C36BF2">
              <w:rPr>
                <w:bCs/>
                <w:lang w:eastAsia="ar-SA"/>
              </w:rPr>
              <w:t xml:space="preserve"> </w:t>
            </w:r>
            <w:r w:rsidR="00CD787D">
              <w:rPr>
                <w:bCs/>
                <w:lang w:eastAsia="ar-SA"/>
              </w:rPr>
              <w:t>81</w:t>
            </w:r>
            <w:r w:rsidRPr="00C36BF2">
              <w:rPr>
                <w:bCs/>
                <w:lang w:eastAsia="ar-SA"/>
              </w:rPr>
              <w:t xml:space="preserve"> копе</w:t>
            </w:r>
            <w:r w:rsidR="00CD787D">
              <w:rPr>
                <w:bCs/>
                <w:lang w:eastAsia="ar-SA"/>
              </w:rPr>
              <w:t>йка</w:t>
            </w:r>
            <w:r w:rsidR="00C36BF2">
              <w:rPr>
                <w:bCs/>
                <w:lang w:eastAsia="ar-SA"/>
              </w:rPr>
              <w:t>,</w:t>
            </w:r>
            <w:r w:rsidRPr="00C36BF2">
              <w:rPr>
                <w:bCs/>
                <w:lang w:eastAsia="ar-SA"/>
              </w:rPr>
              <w:t xml:space="preserve"> кроме то</w:t>
            </w:r>
            <w:r w:rsidR="00C36BF2" w:rsidRPr="00C36BF2">
              <w:rPr>
                <w:bCs/>
                <w:lang w:eastAsia="ar-SA"/>
              </w:rPr>
              <w:t>го НДС в размере 20</w:t>
            </w:r>
            <w:r w:rsidRPr="00C36BF2">
              <w:rPr>
                <w:bCs/>
                <w:lang w:eastAsia="ar-SA"/>
              </w:rPr>
              <w:t xml:space="preserve"> % - </w:t>
            </w:r>
            <w:r w:rsidR="00CD787D">
              <w:t>2 911 971</w:t>
            </w:r>
            <w:r w:rsidRPr="00C36BF2">
              <w:rPr>
                <w:bCs/>
                <w:lang w:eastAsia="ar-SA"/>
              </w:rPr>
              <w:t xml:space="preserve"> </w:t>
            </w:r>
            <w:r w:rsidR="00CD787D">
              <w:rPr>
                <w:bCs/>
                <w:lang w:eastAsia="ar-SA"/>
              </w:rPr>
              <w:t>(два миллиона девятьсот одиннадцать тысяч девятьсот семьдесят один</w:t>
            </w:r>
            <w:r w:rsidRPr="00C36BF2">
              <w:rPr>
                <w:bCs/>
                <w:lang w:eastAsia="ar-SA"/>
              </w:rPr>
              <w:t>)</w:t>
            </w:r>
            <w:r w:rsidR="00C36BF2">
              <w:rPr>
                <w:bCs/>
                <w:lang w:eastAsia="ar-SA"/>
              </w:rPr>
              <w:t xml:space="preserve"> рубл</w:t>
            </w:r>
            <w:r w:rsidR="000758C6">
              <w:rPr>
                <w:bCs/>
                <w:lang w:eastAsia="ar-SA"/>
              </w:rPr>
              <w:t>ь 3</w:t>
            </w:r>
            <w:r w:rsidR="00CD787D">
              <w:rPr>
                <w:bCs/>
                <w:lang w:eastAsia="ar-SA"/>
              </w:rPr>
              <w:t>6</w:t>
            </w:r>
            <w:r w:rsidRPr="00C36BF2">
              <w:rPr>
                <w:bCs/>
                <w:lang w:eastAsia="ar-SA"/>
              </w:rPr>
              <w:t xml:space="preserve"> копеек.</w:t>
            </w:r>
          </w:p>
          <w:p w:rsidR="00425FE8" w:rsidRPr="00187C12" w:rsidRDefault="00425FE8" w:rsidP="00C40080">
            <w:pPr>
              <w:rPr>
                <w:rFonts w:eastAsia="Calibri"/>
              </w:rPr>
            </w:pPr>
            <w:r w:rsidRPr="00C36BF2">
              <w:t xml:space="preserve">Начальная (максимальная) цена договора (цена лота) с учетом НДС составляет </w:t>
            </w:r>
            <w:r w:rsidR="00CD787D">
              <w:t>17 471 828</w:t>
            </w:r>
            <w:r w:rsidRPr="00C36BF2">
              <w:rPr>
                <w:bCs/>
                <w:lang w:eastAsia="ar-SA"/>
              </w:rPr>
              <w:t xml:space="preserve"> (</w:t>
            </w:r>
            <w:r w:rsidR="00CD787D">
              <w:rPr>
                <w:bCs/>
                <w:lang w:eastAsia="ar-SA"/>
              </w:rPr>
              <w:t>семнадцать миллионов четыреста семьдесят одна тысяча восемьсот двадцать восемь</w:t>
            </w:r>
            <w:r w:rsidRPr="00C36BF2">
              <w:rPr>
                <w:bCs/>
                <w:lang w:eastAsia="ar-SA"/>
              </w:rPr>
              <w:t>)</w:t>
            </w:r>
            <w:r w:rsidR="00C36BF2">
              <w:rPr>
                <w:bCs/>
                <w:lang w:eastAsia="ar-SA"/>
              </w:rPr>
              <w:t xml:space="preserve"> рубл</w:t>
            </w:r>
            <w:r w:rsidR="00CD787D">
              <w:rPr>
                <w:bCs/>
                <w:lang w:eastAsia="ar-SA"/>
              </w:rPr>
              <w:t>ей 17</w:t>
            </w:r>
            <w:r w:rsidRPr="00C36BF2">
              <w:rPr>
                <w:bCs/>
                <w:lang w:eastAsia="ar-SA"/>
              </w:rPr>
              <w:t xml:space="preserve"> копеек.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0758C6">
              <w:t>06</w:t>
            </w:r>
            <w:r w:rsidRPr="001936E8">
              <w:t xml:space="preserve">» </w:t>
            </w:r>
            <w:r w:rsidR="000758C6">
              <w:t>дека</w:t>
            </w:r>
            <w:r w:rsidR="00FE2DDA" w:rsidRPr="001936E8">
              <w:t>бря</w:t>
            </w:r>
            <w:r w:rsidRPr="001936E8">
              <w:t xml:space="preserve"> 2019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0758C6">
              <w:t>16</w:t>
            </w:r>
            <w:r w:rsidRPr="001936E8">
              <w:t xml:space="preserve">» </w:t>
            </w:r>
            <w:r w:rsidR="001936E8" w:rsidRPr="001936E8">
              <w:t>декабря</w:t>
            </w:r>
            <w:r w:rsidRPr="001936E8">
              <w:t xml:space="preserve"> 20</w:t>
            </w:r>
            <w:r w:rsidR="001936E8" w:rsidRPr="001936E8">
              <w:t>19</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0758C6">
              <w:t>23</w:t>
            </w:r>
            <w:r w:rsidRPr="001936E8">
              <w:t xml:space="preserve">» </w:t>
            </w:r>
            <w:r w:rsidR="001936E8" w:rsidRPr="001936E8">
              <w:t>декабря</w:t>
            </w:r>
            <w:r w:rsidRPr="001936E8">
              <w:t xml:space="preserve"> 20</w:t>
            </w:r>
            <w:r w:rsidR="001936E8" w:rsidRPr="001936E8">
              <w:t>19</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«24</w:t>
            </w:r>
            <w:r w:rsidR="00761A5A" w:rsidRPr="001936E8">
              <w:t xml:space="preserve">» </w:t>
            </w:r>
            <w:r w:rsidR="001936E8" w:rsidRPr="001936E8">
              <w:t>декабря</w:t>
            </w:r>
            <w:r w:rsidR="00761A5A" w:rsidRPr="001936E8">
              <w:t xml:space="preserve"> 20</w:t>
            </w:r>
            <w:r w:rsidR="001936E8" w:rsidRPr="001936E8">
              <w:t>19</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1936E8" w:rsidRPr="001936E8">
              <w:t>2</w:t>
            </w:r>
            <w:r w:rsidR="000758C6">
              <w:t>0</w:t>
            </w:r>
            <w:r w:rsidRPr="001936E8">
              <w:t xml:space="preserve">» </w:t>
            </w:r>
            <w:r w:rsidR="000758C6">
              <w:t>января</w:t>
            </w:r>
            <w:r w:rsidRPr="001936E8">
              <w:t xml:space="preserve"> 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0758C6">
              <w:t>21</w:t>
            </w:r>
            <w:r w:rsidRPr="001936E8">
              <w:t xml:space="preserve">» </w:t>
            </w:r>
            <w:r w:rsidR="000758C6">
              <w:t>января</w:t>
            </w:r>
            <w:r w:rsidRPr="001936E8">
              <w:t xml:space="preserve"> 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0758C6">
            <w:pPr>
              <w:spacing w:after="0"/>
            </w:pPr>
            <w:r w:rsidRPr="001936E8">
              <w:t>«</w:t>
            </w:r>
            <w:r w:rsidR="000758C6">
              <w:t>13</w:t>
            </w:r>
            <w:r w:rsidRPr="001936E8">
              <w:t xml:space="preserve">» </w:t>
            </w:r>
            <w:r w:rsidR="000758C6">
              <w:t>дека</w:t>
            </w:r>
            <w:r w:rsidR="001936E8" w:rsidRPr="001936E8">
              <w:t>бря</w:t>
            </w:r>
            <w:r w:rsidRPr="001936E8">
              <w:t xml:space="preserve"> 2019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37136032" r:id="rId13"/>
        </w:object>
      </w:r>
      <w:r w:rsidRPr="000C6A1D">
        <w:rPr>
          <w:sz w:val="20"/>
          <w:szCs w:val="20"/>
        </w:rPr>
        <w:t xml:space="preserve">: </w:t>
      </w:r>
      <w:r w:rsidRPr="000C6A1D">
        <w:rPr>
          <w:position w:val="-24"/>
          <w:sz w:val="20"/>
          <w:szCs w:val="20"/>
        </w:rPr>
        <w:object w:dxaOrig="279" w:dyaOrig="620">
          <v:shape id="_x0000_i1026" type="#_x0000_t75" style="width:13.8pt;height:28.8pt" o:ole="">
            <v:imagedata r:id="rId14" o:title=""/>
          </v:shape>
          <o:OLEObject Type="Embed" ProgID="Equation.3" ShapeID="_x0000_i1026" DrawAspect="Content" ObjectID="_1637136033" r:id="rId15"/>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6pt;height:13.8pt" o:ole="">
            <v:imagedata r:id="rId16" o:title=""/>
          </v:shape>
          <o:OLEObject Type="Embed" ProgID="Equation.3" ShapeID="_x0000_i1027" DrawAspect="Content" ObjectID="_1637136034" r:id="rId17"/>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D15FB9" w:rsidRPr="00D15FB9" w:rsidRDefault="00D15FB9" w:rsidP="00D15FB9">
            <w:pPr>
              <w:widowControl w:val="0"/>
              <w:spacing w:after="0"/>
              <w:ind w:right="34"/>
              <w:jc w:val="left"/>
              <w:rPr>
                <w:sz w:val="20"/>
                <w:szCs w:val="20"/>
              </w:rPr>
            </w:pPr>
            <w:r w:rsidRPr="00D15FB9">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D15FB9" w:rsidRPr="00D15FB9" w:rsidRDefault="00D15FB9" w:rsidP="00D15FB9">
            <w:pPr>
              <w:widowControl w:val="0"/>
              <w:spacing w:after="0"/>
              <w:ind w:right="34"/>
              <w:jc w:val="left"/>
              <w:rPr>
                <w:sz w:val="20"/>
                <w:szCs w:val="20"/>
              </w:rPr>
            </w:pPr>
            <w:r w:rsidRPr="00D15FB9">
              <w:rPr>
                <w:sz w:val="20"/>
                <w:szCs w:val="20"/>
              </w:rPr>
              <w:t>Выписка должна быть выдана не ранее 30 календарных дней до даты подачи участником своего предложения на закупку.</w:t>
            </w:r>
          </w:p>
          <w:p w:rsidR="00D15FB9" w:rsidRPr="00D15FB9" w:rsidRDefault="00D15FB9" w:rsidP="00D15FB9">
            <w:pPr>
              <w:widowControl w:val="0"/>
              <w:spacing w:after="0"/>
              <w:ind w:right="34"/>
              <w:jc w:val="left"/>
              <w:rPr>
                <w:sz w:val="20"/>
                <w:szCs w:val="20"/>
              </w:rPr>
            </w:pPr>
            <w:r w:rsidRPr="00D15FB9">
              <w:rPr>
                <w:sz w:val="20"/>
                <w:szCs w:val="20"/>
              </w:rPr>
              <w:t>Компенсационный фонд (возмещение вреда) - уровень 1;</w:t>
            </w:r>
          </w:p>
          <w:p w:rsidR="00D15FB9" w:rsidRDefault="00D15FB9" w:rsidP="00D15FB9">
            <w:pPr>
              <w:widowControl w:val="0"/>
              <w:spacing w:after="0"/>
              <w:ind w:right="34"/>
              <w:jc w:val="left"/>
              <w:rPr>
                <w:sz w:val="20"/>
                <w:szCs w:val="20"/>
              </w:rPr>
            </w:pPr>
            <w:r w:rsidRPr="00D15FB9">
              <w:rPr>
                <w:sz w:val="20"/>
                <w:szCs w:val="20"/>
              </w:rPr>
              <w:t>Компенсационный фонд (обеспечение договорных обязательств) - уровень 1.</w:t>
            </w:r>
          </w:p>
          <w:p w:rsidR="00D15FB9" w:rsidRDefault="00D15FB9" w:rsidP="006056B5">
            <w:pPr>
              <w:widowControl w:val="0"/>
              <w:spacing w:after="0"/>
              <w:ind w:right="34"/>
              <w:jc w:val="left"/>
              <w:rPr>
                <w:sz w:val="20"/>
                <w:szCs w:val="20"/>
              </w:rPr>
            </w:pPr>
          </w:p>
          <w:p w:rsidR="006056B5" w:rsidRPr="005A3EF2" w:rsidRDefault="005A3EF2" w:rsidP="006056B5">
            <w:pPr>
              <w:widowControl w:val="0"/>
              <w:spacing w:after="0"/>
              <w:ind w:right="34"/>
              <w:jc w:val="left"/>
              <w:rPr>
                <w:sz w:val="20"/>
                <w:szCs w:val="20"/>
              </w:rPr>
            </w:pPr>
            <w:r w:rsidRPr="005A3EF2">
              <w:rPr>
                <w:sz w:val="20"/>
                <w:szCs w:val="20"/>
              </w:rPr>
              <w:t xml:space="preserve"> </w:t>
            </w:r>
          </w:p>
        </w:tc>
        <w:tc>
          <w:tcPr>
            <w:tcW w:w="2809" w:type="pct"/>
          </w:tcPr>
          <w:p w:rsidR="005A3EF2" w:rsidRPr="005A3EF2" w:rsidRDefault="00D15FB9" w:rsidP="00AB7E54">
            <w:pPr>
              <w:widowControl w:val="0"/>
              <w:spacing w:after="0"/>
              <w:ind w:right="34"/>
              <w:jc w:val="left"/>
              <w:rPr>
                <w:i/>
                <w:sz w:val="20"/>
                <w:szCs w:val="20"/>
              </w:rPr>
            </w:pPr>
            <w:r w:rsidRPr="00D15FB9">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20"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D15FB9" w:rsidRDefault="0066153A" w:rsidP="005A3EF2">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D15FB9" w:rsidRDefault="00D15FB9" w:rsidP="005A3EF2">
            <w:pPr>
              <w:widowControl w:val="0"/>
              <w:spacing w:after="0"/>
              <w:ind w:right="34"/>
              <w:jc w:val="left"/>
              <w:rPr>
                <w:rFonts w:eastAsia="Calibri"/>
                <w:sz w:val="20"/>
                <w:szCs w:val="20"/>
              </w:rPr>
            </w:pP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бригадный автомобиль - 3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автомобильный кран - 1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КМУ (автовышка) - 1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бурильно- крановая машина (БКМ) - 1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экскаватор- погрузчик - 1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автомобиль бортовой - 2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трактор - 1 ед.;</w:t>
            </w:r>
          </w:p>
          <w:p w:rsidR="00D15FB9" w:rsidRPr="00D15FB9" w:rsidRDefault="00D15FB9" w:rsidP="00D15FB9">
            <w:pPr>
              <w:widowControl w:val="0"/>
              <w:spacing w:after="0"/>
              <w:ind w:right="34"/>
              <w:jc w:val="left"/>
              <w:rPr>
                <w:rFonts w:eastAsia="Calibri"/>
                <w:sz w:val="20"/>
                <w:szCs w:val="20"/>
              </w:rPr>
            </w:pPr>
            <w:r w:rsidRPr="00D15FB9">
              <w:rPr>
                <w:rFonts w:eastAsia="Calibri"/>
                <w:sz w:val="20"/>
                <w:szCs w:val="20"/>
              </w:rPr>
              <w:t>полуприцеп - 2 ед.;</w:t>
            </w:r>
          </w:p>
          <w:p w:rsidR="00D15FB9" w:rsidRPr="005A3EF2" w:rsidRDefault="00D15FB9" w:rsidP="00D15FB9">
            <w:pPr>
              <w:widowControl w:val="0"/>
              <w:spacing w:after="0"/>
              <w:ind w:right="34"/>
              <w:jc w:val="left"/>
              <w:rPr>
                <w:rFonts w:eastAsia="Calibri"/>
                <w:sz w:val="20"/>
                <w:szCs w:val="20"/>
              </w:rPr>
            </w:pPr>
            <w:r w:rsidRPr="00D15FB9">
              <w:rPr>
                <w:rFonts w:eastAsia="Calibri"/>
                <w:sz w:val="20"/>
                <w:szCs w:val="20"/>
              </w:rPr>
              <w:t>установка ГНБ -1 ед.</w:t>
            </w:r>
          </w:p>
        </w:tc>
        <w:tc>
          <w:tcPr>
            <w:tcW w:w="2809" w:type="pct"/>
          </w:tcPr>
          <w:p w:rsidR="00D15FB9" w:rsidRPr="00D15FB9" w:rsidRDefault="00D15FB9" w:rsidP="00D15FB9">
            <w:pPr>
              <w:widowControl w:val="0"/>
              <w:spacing w:after="0"/>
              <w:ind w:right="34"/>
              <w:jc w:val="left"/>
              <w:rPr>
                <w:sz w:val="20"/>
                <w:szCs w:val="20"/>
              </w:rPr>
            </w:pPr>
            <w:r w:rsidRPr="00D15FB9">
              <w:rPr>
                <w:sz w:val="20"/>
                <w:szCs w:val="20"/>
              </w:rPr>
              <w:t>Справка по МТР по установленной ЗД форме.</w:t>
            </w:r>
          </w:p>
          <w:p w:rsidR="0066153A" w:rsidRPr="005A3EF2" w:rsidRDefault="00D15FB9" w:rsidP="00D15FB9">
            <w:pPr>
              <w:widowControl w:val="0"/>
              <w:tabs>
                <w:tab w:val="left" w:pos="993"/>
              </w:tabs>
              <w:suppressAutoHyphens/>
              <w:spacing w:after="0"/>
              <w:ind w:right="34"/>
              <w:jc w:val="left"/>
              <w:outlineLvl w:val="2"/>
              <w:rPr>
                <w:sz w:val="20"/>
                <w:szCs w:val="20"/>
              </w:rPr>
            </w:pPr>
            <w:r w:rsidRPr="00D15FB9">
              <w:rPr>
                <w:sz w:val="20"/>
                <w:szCs w:val="20"/>
              </w:rPr>
              <w:t>Документы подтверждающ</w:t>
            </w:r>
            <w:r>
              <w:rPr>
                <w:sz w:val="20"/>
                <w:szCs w:val="20"/>
              </w:rPr>
              <w:t>и</w:t>
            </w:r>
            <w:r w:rsidRPr="00D15FB9">
              <w:rPr>
                <w:sz w:val="20"/>
                <w:szCs w:val="20"/>
              </w:rPr>
              <w:t>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66153A" w:rsidRDefault="0066153A" w:rsidP="003D7BF2">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Pr>
                <w:rFonts w:eastAsia="Calibri"/>
                <w:sz w:val="20"/>
                <w:szCs w:val="20"/>
              </w:rPr>
              <w:t>ваниями к закупке.</w:t>
            </w:r>
          </w:p>
          <w:p w:rsidR="00D15FB9" w:rsidRDefault="00D15FB9" w:rsidP="003D7BF2">
            <w:pPr>
              <w:spacing w:after="0"/>
              <w:ind w:right="34"/>
              <w:jc w:val="left"/>
              <w:rPr>
                <w:rFonts w:eastAsia="Calibri"/>
                <w:sz w:val="20"/>
                <w:szCs w:val="20"/>
              </w:rPr>
            </w:pPr>
          </w:p>
          <w:p w:rsidR="00D15FB9" w:rsidRPr="00D15FB9" w:rsidRDefault="00D15FB9" w:rsidP="00D15FB9">
            <w:pPr>
              <w:spacing w:after="0"/>
              <w:ind w:right="34"/>
              <w:jc w:val="left"/>
              <w:rPr>
                <w:rFonts w:eastAsia="Calibri"/>
                <w:sz w:val="20"/>
                <w:szCs w:val="20"/>
              </w:rPr>
            </w:pPr>
            <w:r w:rsidRPr="00D15FB9">
              <w:rPr>
                <w:rFonts w:eastAsia="Calibri"/>
                <w:sz w:val="20"/>
                <w:szCs w:val="20"/>
              </w:rPr>
              <w:t>Численность рабочих, привлекаемых для выполнения СМР, должна составлять не менее 25 человек, в том числе: инженер по наладке и испытаниям - 5 чел., электромонтер-линейщик - 7 чел., электромонтажник по силовым сетя</w:t>
            </w:r>
            <w:r>
              <w:rPr>
                <w:rFonts w:eastAsia="Calibri"/>
                <w:sz w:val="20"/>
                <w:szCs w:val="20"/>
              </w:rPr>
              <w:t>м</w:t>
            </w:r>
            <w:r w:rsidRPr="00D15FB9">
              <w:rPr>
                <w:rFonts w:eastAsia="Calibri"/>
                <w:sz w:val="20"/>
                <w:szCs w:val="20"/>
              </w:rPr>
              <w:t xml:space="preserve"> и оборудованию - 5 чел.; машинист (оператор) установки горизонтального направленного бурения 5 разряда - 1 чел..; водитель крана – 1 чел.</w:t>
            </w:r>
          </w:p>
          <w:p w:rsidR="00D15FB9" w:rsidRPr="00D15FB9" w:rsidRDefault="00D15FB9" w:rsidP="00D15FB9">
            <w:pPr>
              <w:spacing w:after="0"/>
              <w:ind w:right="34"/>
              <w:jc w:val="left"/>
              <w:rPr>
                <w:rFonts w:eastAsia="Calibri"/>
                <w:sz w:val="20"/>
                <w:szCs w:val="20"/>
              </w:rPr>
            </w:pPr>
            <w:r w:rsidRPr="00D15FB9">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p w:rsidR="00D15FB9" w:rsidRPr="00305AA0" w:rsidRDefault="00D15FB9" w:rsidP="00D15FB9">
            <w:pPr>
              <w:spacing w:after="0"/>
              <w:ind w:right="34"/>
              <w:jc w:val="left"/>
              <w:rPr>
                <w:rFonts w:eastAsia="Calibri"/>
                <w:sz w:val="20"/>
                <w:szCs w:val="20"/>
              </w:rPr>
            </w:pPr>
            <w:r w:rsidRPr="00D15FB9">
              <w:rPr>
                <w:rFonts w:eastAsia="Calibri"/>
                <w:sz w:val="20"/>
                <w:szCs w:val="20"/>
              </w:rPr>
              <w:t>В штатном расписании Участника в обязательном порядке должен состоять работник ОТиТБ, аттестованный в соответствии с нормами и правилами</w:t>
            </w:r>
          </w:p>
        </w:tc>
        <w:tc>
          <w:tcPr>
            <w:tcW w:w="2809" w:type="pct"/>
          </w:tcPr>
          <w:p w:rsidR="00D15FB9" w:rsidRPr="00D15FB9" w:rsidRDefault="00D15FB9" w:rsidP="00D15FB9">
            <w:pPr>
              <w:spacing w:after="0"/>
              <w:ind w:right="34"/>
              <w:jc w:val="left"/>
              <w:rPr>
                <w:bCs/>
                <w:sz w:val="20"/>
                <w:szCs w:val="20"/>
              </w:rPr>
            </w:pPr>
            <w:r w:rsidRPr="00D15FB9">
              <w:rPr>
                <w:bCs/>
                <w:sz w:val="20"/>
                <w:szCs w:val="20"/>
              </w:rPr>
              <w:t xml:space="preserve">Для  подтверждения выполнения данного требования, в составе предложения, предоставляются следующие документы: </w:t>
            </w:r>
          </w:p>
          <w:p w:rsidR="00D15FB9" w:rsidRPr="00D15FB9" w:rsidRDefault="00D15FB9" w:rsidP="00D15FB9">
            <w:pPr>
              <w:spacing w:after="0"/>
              <w:ind w:right="34"/>
              <w:jc w:val="left"/>
              <w:rPr>
                <w:bCs/>
                <w:sz w:val="20"/>
                <w:szCs w:val="20"/>
              </w:rPr>
            </w:pPr>
            <w:r w:rsidRPr="00D15FB9">
              <w:rPr>
                <w:bCs/>
                <w:sz w:val="20"/>
                <w:szCs w:val="20"/>
              </w:rPr>
              <w:t>- справка о кадровых ресурсах (с указанием общего стажа работы каждого работника по специальности) по установленной КД форме;</w:t>
            </w:r>
          </w:p>
          <w:p w:rsidR="00D15FB9" w:rsidRPr="00D15FB9" w:rsidRDefault="00D15FB9" w:rsidP="00D15FB9">
            <w:pPr>
              <w:spacing w:after="0"/>
              <w:ind w:right="34"/>
              <w:jc w:val="left"/>
              <w:rPr>
                <w:bCs/>
                <w:sz w:val="20"/>
                <w:szCs w:val="20"/>
              </w:rPr>
            </w:pPr>
            <w:r w:rsidRPr="00D15FB9">
              <w:rPr>
                <w:bCs/>
                <w:sz w:val="20"/>
                <w:szCs w:val="20"/>
              </w:rPr>
              <w:t>- копии трудовых книжек;</w:t>
            </w:r>
          </w:p>
          <w:p w:rsidR="00D15FB9" w:rsidRPr="00D15FB9" w:rsidRDefault="00D15FB9" w:rsidP="00D15FB9">
            <w:pPr>
              <w:spacing w:after="0"/>
              <w:ind w:right="34"/>
              <w:jc w:val="left"/>
              <w:rPr>
                <w:bCs/>
                <w:sz w:val="20"/>
                <w:szCs w:val="20"/>
              </w:rPr>
            </w:pPr>
            <w:r w:rsidRPr="00D15FB9">
              <w:rPr>
                <w:bCs/>
                <w:sz w:val="20"/>
                <w:szCs w:val="20"/>
              </w:rPr>
              <w:t>- копии дипломов об основном образовании;</w:t>
            </w:r>
          </w:p>
          <w:p w:rsidR="00D15FB9" w:rsidRPr="00D15FB9" w:rsidRDefault="00D15FB9" w:rsidP="00D15FB9">
            <w:pPr>
              <w:spacing w:after="0"/>
              <w:ind w:right="34"/>
              <w:jc w:val="left"/>
              <w:rPr>
                <w:bCs/>
                <w:sz w:val="20"/>
                <w:szCs w:val="20"/>
              </w:rPr>
            </w:pPr>
            <w:r w:rsidRPr="00D15FB9">
              <w:rPr>
                <w:bCs/>
                <w:sz w:val="20"/>
                <w:szCs w:val="20"/>
              </w:rPr>
              <w:t>- копии свидетельств о прохождении регламентируемых законодательством РФ обязательных курсов повышения квалификации;</w:t>
            </w:r>
          </w:p>
          <w:p w:rsidR="00D15FB9" w:rsidRPr="00D15FB9" w:rsidRDefault="00D15FB9" w:rsidP="00D15FB9">
            <w:pPr>
              <w:spacing w:after="0"/>
              <w:ind w:right="34"/>
              <w:jc w:val="left"/>
              <w:rPr>
                <w:bCs/>
                <w:sz w:val="20"/>
                <w:szCs w:val="20"/>
              </w:rPr>
            </w:pPr>
            <w:r w:rsidRPr="00D15FB9">
              <w:rPr>
                <w:bCs/>
                <w:sz w:val="20"/>
                <w:szCs w:val="20"/>
              </w:rPr>
              <w:t>- справка по форме КНД-1151111 о расчёте по страховым взносам в ФНС, за последний отчётный период;</w:t>
            </w:r>
          </w:p>
          <w:p w:rsidR="00D15FB9" w:rsidRPr="00D15FB9" w:rsidRDefault="00D15FB9" w:rsidP="00D15FB9">
            <w:pPr>
              <w:spacing w:after="0"/>
              <w:ind w:right="34"/>
              <w:jc w:val="left"/>
              <w:rPr>
                <w:bCs/>
                <w:sz w:val="20"/>
                <w:szCs w:val="20"/>
              </w:rPr>
            </w:pPr>
            <w:r w:rsidRPr="00D15FB9">
              <w:rPr>
                <w:bCs/>
                <w:sz w:val="20"/>
                <w:szCs w:val="20"/>
              </w:rPr>
              <w:t>- удостоверения по ЭБ на весь привлекаемый для выполнения СМР персонал.</w:t>
            </w:r>
          </w:p>
          <w:p w:rsidR="00D15FB9" w:rsidRPr="00D15FB9" w:rsidRDefault="00D15FB9" w:rsidP="00D15FB9">
            <w:pPr>
              <w:spacing w:after="0"/>
              <w:ind w:right="34"/>
              <w:jc w:val="left"/>
              <w:rPr>
                <w:bCs/>
                <w:sz w:val="20"/>
                <w:szCs w:val="20"/>
              </w:rPr>
            </w:pPr>
            <w:r w:rsidRPr="00D15FB9">
              <w:rPr>
                <w:bCs/>
                <w:sz w:val="20"/>
                <w:szCs w:val="20"/>
              </w:rPr>
              <w:t>Документальное подтверждение аттестации сотрудника ОТиТБ, копия штатного расписания.</w:t>
            </w:r>
          </w:p>
          <w:p w:rsidR="0066153A" w:rsidRPr="005A3EF2" w:rsidRDefault="00D15FB9" w:rsidP="00D15FB9">
            <w:pPr>
              <w:widowControl w:val="0"/>
              <w:spacing w:after="0"/>
              <w:ind w:right="34"/>
              <w:jc w:val="left"/>
              <w:rPr>
                <w:sz w:val="20"/>
                <w:szCs w:val="20"/>
              </w:rPr>
            </w:pPr>
            <w:r w:rsidRPr="00D15FB9">
              <w:rPr>
                <w:bCs/>
                <w:sz w:val="20"/>
                <w:szCs w:val="20"/>
              </w:rPr>
              <w:t>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3" w:history="1">
        <w:r w:rsidRPr="00BB1F38">
          <w:t>Конвенцию</w:t>
        </w:r>
      </w:hyperlink>
      <w:r w:rsidRPr="00BB1F38">
        <w:t xml:space="preserve"> ООН против коррупции в 2006 году (8 марта 2006 года принят Федеральный </w:t>
      </w:r>
      <w:hyperlink r:id="rId24"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5"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B1F38">
                <w:rPr>
                  <w:rStyle w:val="aff9"/>
                  <w:bCs/>
                  <w:sz w:val="20"/>
                </w:rPr>
                <w:t>ОКВЭД2</w:t>
              </w:r>
            </w:hyperlink>
            <w:r w:rsidRPr="00BB1F38">
              <w:rPr>
                <w:bCs/>
                <w:sz w:val="20"/>
              </w:rPr>
              <w:t xml:space="preserve"> и </w:t>
            </w:r>
            <w:hyperlink r:id="rId31"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7"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B1F38">
          <w:rPr>
            <w:rStyle w:val="aff9"/>
            <w:bCs/>
            <w:sz w:val="20"/>
          </w:rPr>
          <w:t>пунктах 7</w:t>
        </w:r>
      </w:hyperlink>
      <w:r w:rsidRPr="00BB1F38">
        <w:rPr>
          <w:bCs/>
          <w:sz w:val="20"/>
        </w:rPr>
        <w:t xml:space="preserve"> и </w:t>
      </w:r>
      <w:hyperlink r:id="rId39"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40" w:anchor="P248" w:history="1">
        <w:r w:rsidRPr="00BB1F38">
          <w:rPr>
            <w:rStyle w:val="aff9"/>
            <w:bCs/>
            <w:sz w:val="20"/>
          </w:rPr>
          <w:t>Пункты 1</w:t>
        </w:r>
      </w:hyperlink>
      <w:r w:rsidRPr="00BB1F38">
        <w:rPr>
          <w:bCs/>
          <w:sz w:val="20"/>
        </w:rPr>
        <w:t xml:space="preserve"> - </w:t>
      </w:r>
      <w:hyperlink r:id="rId41"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B1F38">
          <w:rPr>
            <w:rStyle w:val="aff9"/>
            <w:bCs/>
            <w:sz w:val="20"/>
          </w:rPr>
          <w:t>подпунктах "в"</w:t>
        </w:r>
      </w:hyperlink>
      <w:r w:rsidRPr="00BB1F38">
        <w:rPr>
          <w:bCs/>
          <w:sz w:val="20"/>
        </w:rPr>
        <w:t xml:space="preserve"> - </w:t>
      </w:r>
      <w:hyperlink r:id="rId43"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4"/>
          <w:footerReference w:type="first" r:id="rId45"/>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843E2D" w:rsidP="007A2176">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Pr>
          <w:b/>
          <w:snapToGrid w:val="0"/>
          <w:sz w:val="26"/>
          <w:szCs w:val="26"/>
        </w:rPr>
        <w:t xml:space="preserve">АО </w:t>
      </w:r>
      <w:r w:rsidRPr="00315EBE">
        <w:rPr>
          <w:b/>
          <w:snapToGrid w:val="0"/>
          <w:sz w:val="26"/>
          <w:szCs w:val="26"/>
        </w:rPr>
        <w:t>«</w:t>
      </w:r>
      <w:r>
        <w:rPr>
          <w:b/>
          <w:snapToGrid w:val="0"/>
          <w:sz w:val="26"/>
          <w:szCs w:val="26"/>
        </w:rPr>
        <w:t>Тываэнерго</w:t>
      </w:r>
      <w:r w:rsidRPr="00315EBE">
        <w:rPr>
          <w:b/>
          <w:snapToGrid w:val="0"/>
          <w:sz w:val="26"/>
          <w:szCs w:val="26"/>
        </w:rPr>
        <w:t>»</w:t>
      </w:r>
      <w:r w:rsidRPr="00315EBE">
        <w:rPr>
          <w:snapToGrid w:val="0"/>
          <w:sz w:val="26"/>
          <w:szCs w:val="26"/>
        </w:rPr>
        <w:t>, зарегистрированному по адресу:</w:t>
      </w:r>
      <w:r w:rsidRPr="007B1780">
        <w:t xml:space="preserve"> </w:t>
      </w:r>
      <w:r w:rsidRPr="007B1780">
        <w:rPr>
          <w:snapToGrid w:val="0"/>
          <w:sz w:val="26"/>
          <w:szCs w:val="26"/>
        </w:rPr>
        <w:t>667001, г. Кызыл, улица Рабочая, дом 4</w:t>
      </w:r>
      <w:r w:rsidRPr="00315EBE">
        <w:rPr>
          <w:snapToGrid w:val="0"/>
          <w:sz w:val="26"/>
          <w:szCs w:val="26"/>
        </w:rPr>
        <w:t>,</w:t>
      </w:r>
      <w:r w:rsidRPr="00315EBE">
        <w:rPr>
          <w:b/>
          <w:i/>
          <w:snapToGrid w:val="0"/>
          <w:sz w:val="22"/>
          <w:szCs w:val="22"/>
        </w:rPr>
        <w:t xml:space="preserve"> </w:t>
      </w:r>
      <w:r>
        <w:rPr>
          <w:b/>
          <w:snapToGrid w:val="0"/>
          <w:sz w:val="26"/>
          <w:szCs w:val="26"/>
        </w:rPr>
        <w:t xml:space="preserve">ПАО </w:t>
      </w:r>
      <w:r w:rsidRPr="00315EBE">
        <w:rPr>
          <w:b/>
          <w:snapToGrid w:val="0"/>
          <w:sz w:val="26"/>
          <w:szCs w:val="26"/>
        </w:rPr>
        <w:t>«</w:t>
      </w:r>
      <w:r>
        <w:rPr>
          <w:b/>
          <w:snapToGrid w:val="0"/>
          <w:sz w:val="26"/>
          <w:szCs w:val="26"/>
        </w:rPr>
        <w:t>МРСК Сибири</w:t>
      </w:r>
      <w:r w:rsidRPr="00315EBE">
        <w:rPr>
          <w:b/>
          <w:snapToGrid w:val="0"/>
          <w:sz w:val="26"/>
          <w:szCs w:val="26"/>
        </w:rPr>
        <w:t>»</w:t>
      </w:r>
      <w:r w:rsidRPr="00315EBE">
        <w:rPr>
          <w:b/>
          <w:i/>
          <w:snapToGrid w:val="0"/>
          <w:sz w:val="22"/>
          <w:szCs w:val="22"/>
        </w:rPr>
        <w:t xml:space="preserve">, </w:t>
      </w:r>
      <w:r w:rsidRPr="00315EBE">
        <w:rPr>
          <w:snapToGrid w:val="0"/>
          <w:sz w:val="26"/>
          <w:szCs w:val="26"/>
        </w:rPr>
        <w:t>зарегистрированному по адресу:</w:t>
      </w:r>
      <w:r w:rsidRPr="007B1780">
        <w:t xml:space="preserve"> </w:t>
      </w:r>
      <w:r w:rsidRPr="007B1780">
        <w:rPr>
          <w:snapToGrid w:val="0"/>
          <w:sz w:val="26"/>
          <w:szCs w:val="26"/>
        </w:rPr>
        <w:t>660021, г. Красноярск, ул. Бограда 144а</w:t>
      </w:r>
      <w:r w:rsidRPr="00315EBE">
        <w:rPr>
          <w:snapToGrid w:val="0"/>
          <w:sz w:val="26"/>
          <w:szCs w:val="26"/>
        </w:rPr>
        <w:t xml:space="preserve">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w:t>
      </w:r>
      <w:r w:rsidR="007A2176" w:rsidRPr="00315EBE">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75F" w:rsidRDefault="0090475F">
      <w:r>
        <w:separator/>
      </w:r>
    </w:p>
    <w:p w:rsidR="0090475F" w:rsidRDefault="0090475F"/>
  </w:endnote>
  <w:endnote w:type="continuationSeparator" w:id="0">
    <w:p w:rsidR="0090475F" w:rsidRDefault="0090475F">
      <w:r>
        <w:continuationSeparator/>
      </w:r>
    </w:p>
    <w:p w:rsidR="0090475F" w:rsidRDefault="009047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72B6" w:rsidRDefault="003272B6">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8A0CAD">
      <w:rPr>
        <w:rStyle w:val="aff"/>
        <w:noProof/>
      </w:rPr>
      <w:t>51</w:t>
    </w:r>
    <w:r>
      <w:rPr>
        <w:rStyle w:val="aff"/>
      </w:rPr>
      <w:fldChar w:fldCharType="end"/>
    </w:r>
  </w:p>
  <w:p w:rsidR="003272B6" w:rsidRDefault="003272B6">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737762"/>
      <w:docPartObj>
        <w:docPartGallery w:val="Page Numbers (Bottom of Page)"/>
        <w:docPartUnique/>
      </w:docPartObj>
    </w:sdtPr>
    <w:sdtEndPr/>
    <w:sdtContent>
      <w:p w:rsidR="003272B6" w:rsidRDefault="003272B6">
        <w:pPr>
          <w:pStyle w:val="aff0"/>
          <w:jc w:val="right"/>
        </w:pPr>
        <w:r>
          <w:fldChar w:fldCharType="begin"/>
        </w:r>
        <w:r>
          <w:instrText>PAGE   \* MERGEFORMAT</w:instrText>
        </w:r>
        <w:r>
          <w:fldChar w:fldCharType="separate"/>
        </w:r>
        <w:r w:rsidR="0090475F">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75F" w:rsidRDefault="0090475F">
      <w:r>
        <w:separator/>
      </w:r>
    </w:p>
    <w:p w:rsidR="0090475F" w:rsidRDefault="0090475F"/>
  </w:footnote>
  <w:footnote w:type="continuationSeparator" w:id="0">
    <w:p w:rsidR="0090475F" w:rsidRDefault="0090475F">
      <w:r>
        <w:continuationSeparator/>
      </w:r>
    </w:p>
    <w:p w:rsidR="0090475F" w:rsidRDefault="0090475F"/>
  </w:footnote>
  <w:footnote w:id="1">
    <w:p w:rsidR="003272B6" w:rsidRPr="00BB1F38" w:rsidRDefault="003272B6"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272B6" w:rsidRPr="00BB1F38" w:rsidRDefault="003272B6"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272B6" w:rsidRPr="00BB1F38" w:rsidRDefault="003272B6"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272B6" w:rsidRDefault="003272B6"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3272B6" w:rsidRPr="00500502" w:rsidRDefault="003272B6"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14"/>
  </w:num>
  <w:num w:numId="22">
    <w:abstractNumId w:val="56"/>
  </w:num>
  <w:num w:numId="23">
    <w:abstractNumId w:val="38"/>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64E6"/>
    <w:rsid w:val="006C688F"/>
    <w:rsid w:val="006C7018"/>
    <w:rsid w:val="006C7553"/>
    <w:rsid w:val="006C7B34"/>
    <w:rsid w:val="006D0B85"/>
    <w:rsid w:val="006D128D"/>
    <w:rsid w:val="006D4D1A"/>
    <w:rsid w:val="006D4FE7"/>
    <w:rsid w:val="006D57FA"/>
    <w:rsid w:val="006D5F44"/>
    <w:rsid w:val="006D6058"/>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40275"/>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5702"/>
    <w:rsid w:val="008B5B69"/>
    <w:rsid w:val="008B5CD7"/>
    <w:rsid w:val="008B6C3F"/>
    <w:rsid w:val="008B72E1"/>
    <w:rsid w:val="008C0619"/>
    <w:rsid w:val="008C1090"/>
    <w:rsid w:val="008C1D7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7CB3"/>
    <w:rsid w:val="009303A0"/>
    <w:rsid w:val="00930E4C"/>
    <w:rsid w:val="00930E99"/>
    <w:rsid w:val="00931858"/>
    <w:rsid w:val="00931B10"/>
    <w:rsid w:val="00932BB5"/>
    <w:rsid w:val="00933FA1"/>
    <w:rsid w:val="00934153"/>
    <w:rsid w:val="0093672C"/>
    <w:rsid w:val="00937503"/>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53C7"/>
    <w:rsid w:val="00D65DCF"/>
    <w:rsid w:val="00D661FF"/>
    <w:rsid w:val="00D663AC"/>
    <w:rsid w:val="00D700DB"/>
    <w:rsid w:val="00D711AD"/>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4C9"/>
    <w:rsid w:val="00DE6E47"/>
    <w:rsid w:val="00DE784F"/>
    <w:rsid w:val="00DF0374"/>
    <w:rsid w:val="00DF0623"/>
    <w:rsid w:val="00DF13B9"/>
    <w:rsid w:val="00DF14C3"/>
    <w:rsid w:val="00DF1AB2"/>
    <w:rsid w:val="00DF24D9"/>
    <w:rsid w:val="00DF60EB"/>
    <w:rsid w:val="00DF61C4"/>
    <w:rsid w:val="00DF6A92"/>
    <w:rsid w:val="00DF7223"/>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517B7B-0435-49C9-A291-472FEEE86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52</Pages>
  <Words>29456</Words>
  <Characters>167905</Characters>
  <Application>Microsoft Office Word</Application>
  <DocSecurity>0</DocSecurity>
  <Lines>1399</Lines>
  <Paragraphs>393</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196968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430</cp:revision>
  <cp:lastPrinted>2019-01-28T07:02:00Z</cp:lastPrinted>
  <dcterms:created xsi:type="dcterms:W3CDTF">2019-01-29T10:19:00Z</dcterms:created>
  <dcterms:modified xsi:type="dcterms:W3CDTF">2019-12-06T04:14:00Z</dcterms:modified>
</cp:coreProperties>
</file>