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390D43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390D43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390D43">
      <w:pPr>
        <w:pStyle w:val="a3"/>
        <w:widowControl w:val="0"/>
        <w:rPr>
          <w:sz w:val="24"/>
        </w:rPr>
      </w:pPr>
    </w:p>
    <w:p w:rsidR="00670F9D" w:rsidRPr="0091681F" w:rsidRDefault="00670F9D" w:rsidP="00390D43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390D43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390D43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390D43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390D43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390D43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390D43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390D43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390D43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390D43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484C4B" w:rsidRDefault="00670F9D" w:rsidP="00390D43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90D43">
        <w:rPr>
          <w:sz w:val="24"/>
          <w:szCs w:val="24"/>
        </w:rPr>
        <w:t>:</w:t>
      </w:r>
      <w:r w:rsidR="003167F6" w:rsidRPr="00972687">
        <w:rPr>
          <w:sz w:val="24"/>
          <w:szCs w:val="24"/>
        </w:rPr>
        <w:t xml:space="preserve"> </w:t>
      </w:r>
      <w:r w:rsidR="00390D43">
        <w:rPr>
          <w:i/>
          <w:sz w:val="24"/>
          <w:szCs w:val="24"/>
        </w:rPr>
        <w:t xml:space="preserve">265230,00  рублей,  в </w:t>
      </w:r>
      <w:proofErr w:type="spellStart"/>
      <w:r w:rsidR="00390D43">
        <w:rPr>
          <w:i/>
          <w:sz w:val="24"/>
          <w:szCs w:val="24"/>
        </w:rPr>
        <w:t>т.ч</w:t>
      </w:r>
      <w:proofErr w:type="spellEnd"/>
      <w:r w:rsidR="00390D43">
        <w:rPr>
          <w:i/>
          <w:sz w:val="24"/>
          <w:szCs w:val="24"/>
        </w:rPr>
        <w:t>. НДС:</w:t>
      </w:r>
      <w:bookmarkStart w:id="0" w:name="_GoBack"/>
      <w:bookmarkEnd w:id="0"/>
      <w:r w:rsidR="00390D43" w:rsidRPr="00390D43">
        <w:rPr>
          <w:i/>
          <w:sz w:val="24"/>
          <w:szCs w:val="24"/>
        </w:rPr>
        <w:t xml:space="preserve"> 44205,00 рублей</w:t>
      </w:r>
    </w:p>
    <w:p w:rsidR="003167F6" w:rsidRPr="0091681F" w:rsidRDefault="00670F9D" w:rsidP="00390D43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390D43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390D43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390D43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</w:t>
      </w:r>
      <w:r w:rsidRPr="0091681F">
        <w:rPr>
          <w:sz w:val="24"/>
          <w:szCs w:val="24"/>
          <w:lang w:val="ru-RU"/>
        </w:rPr>
        <w:lastRenderedPageBreak/>
        <w:t xml:space="preserve">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390D43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390D43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390D43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390D43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390D43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390D43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390D43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390D43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390D43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390D43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390D43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390D43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390D43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390D43">
      <w:pPr>
        <w:pStyle w:val="a5"/>
        <w:widowControl w:val="0"/>
        <w:rPr>
          <w:szCs w:val="24"/>
        </w:rPr>
      </w:pPr>
    </w:p>
    <w:p w:rsidR="00670F9D" w:rsidRPr="0091681F" w:rsidRDefault="00670F9D" w:rsidP="00390D43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390D43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390D43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390D43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390D43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390D43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</w:t>
      </w:r>
      <w:r w:rsidRPr="0091681F">
        <w:rPr>
          <w:sz w:val="24"/>
          <w:szCs w:val="24"/>
          <w:lang w:val="ru-RU"/>
        </w:rPr>
        <w:lastRenderedPageBreak/>
        <w:t xml:space="preserve">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390D43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390D43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390D43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90D43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90D43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90D43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390D43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390D43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lastRenderedPageBreak/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390D43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390D43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390D43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390D43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390D43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390D43">
      <w:pPr>
        <w:pStyle w:val="a5"/>
        <w:widowControl w:val="0"/>
        <w:rPr>
          <w:szCs w:val="24"/>
        </w:rPr>
      </w:pPr>
    </w:p>
    <w:p w:rsidR="00480C3D" w:rsidRPr="00480C3D" w:rsidRDefault="00B85B07" w:rsidP="00390D43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390D43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390D43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390D43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390D43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390D43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390D43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390D43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390D43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lastRenderedPageBreak/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390D43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390D43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390D43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390D43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390D43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390D43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390D43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390D43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390D43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 xml:space="preserve">стр. составляет </w:t>
      </w:r>
      <w:r w:rsidR="00C71818" w:rsidRPr="0091681F">
        <w:rPr>
          <w:szCs w:val="24"/>
        </w:rPr>
        <w:lastRenderedPageBreak/>
        <w:t>неотъемлемую часть настоящего договора.</w:t>
      </w:r>
    </w:p>
    <w:p w:rsidR="00B85B07" w:rsidRPr="0091681F" w:rsidRDefault="00B85B07" w:rsidP="00390D43">
      <w:pPr>
        <w:pStyle w:val="a5"/>
        <w:widowControl w:val="0"/>
        <w:rPr>
          <w:szCs w:val="24"/>
        </w:rPr>
      </w:pPr>
    </w:p>
    <w:p w:rsidR="00670F9D" w:rsidRPr="0091681F" w:rsidRDefault="00670F9D" w:rsidP="00390D43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390D43">
      <w:pPr>
        <w:widowControl w:val="0"/>
        <w:ind w:right="4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390D43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390D43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390D43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390D43" w:rsidP="00390D43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390D43" w:rsidP="00390D43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390D43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390D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390D43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390D43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390D43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390D43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390D4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1"/>
        <w:gridCol w:w="4186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90D4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390D4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390D4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</w:t>
            </w:r>
            <w:r w:rsidR="00063833" w:rsidRPr="0091681F">
              <w:rPr>
                <w:sz w:val="24"/>
                <w:szCs w:val="24"/>
                <w:lang w:val="ru-RU"/>
              </w:rPr>
              <w:t>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Ind w:w="849" w:type="dxa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390D43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390D43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390D43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="00390D43">
        <w:t>___________________</w:t>
      </w:r>
      <w:r w:rsidRPr="0091681F">
        <w:t>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2"/>
        <w:gridCol w:w="4185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390D43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____________________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390D43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5C597B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14497" w:type="dxa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390D43"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390D43" w:rsidTr="00390D43"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390D4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390D43">
              <w:rPr>
                <w:sz w:val="24"/>
                <w:szCs w:val="24"/>
                <w:lang w:val="ru-RU"/>
              </w:rPr>
              <w:t>с. Сарыг-Сеп, ул. Мира, 6</w:t>
            </w:r>
            <w:r w:rsidR="001355F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390D43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0D43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CFDB-0CE9-45B9-83CC-A161BD8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3460</Words>
  <Characters>19723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10</cp:revision>
  <cp:lastPrinted>2013-04-17T03:49:00Z</cp:lastPrinted>
  <dcterms:created xsi:type="dcterms:W3CDTF">2019-09-10T01:13:00Z</dcterms:created>
  <dcterms:modified xsi:type="dcterms:W3CDTF">2019-11-21T02:31:00Z</dcterms:modified>
</cp:coreProperties>
</file>