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310742">
            <w:pPr>
              <w:snapToGrid w:val="0"/>
              <w:jc w:val="right"/>
              <w:rPr>
                <w:bCs/>
                <w:color w:val="000000"/>
              </w:rPr>
            </w:pPr>
            <w:r>
              <w:rPr>
                <w:bCs/>
              </w:rPr>
              <w:t>«</w:t>
            </w:r>
            <w:r w:rsidR="00310742">
              <w:rPr>
                <w:bCs/>
              </w:rPr>
              <w:t>23</w:t>
            </w:r>
            <w:r>
              <w:rPr>
                <w:bCs/>
              </w:rPr>
              <w:t xml:space="preserve">» </w:t>
            </w:r>
            <w:r w:rsidR="00931976">
              <w:rPr>
                <w:bCs/>
              </w:rPr>
              <w:t>дека</w:t>
            </w:r>
            <w:r w:rsidR="00F22555">
              <w:rPr>
                <w:bCs/>
              </w:rPr>
              <w:t>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31976" w:rsidRPr="00931976">
        <w:rPr>
          <w:rFonts w:ascii="Times New Roman CYR" w:hAnsi="Times New Roman CYR"/>
          <w:b/>
          <w:sz w:val="28"/>
          <w:szCs w:val="28"/>
        </w:rPr>
        <w:t>19.2-11/1.2-0022</w:t>
      </w:r>
    </w:p>
    <w:p w:rsidR="00B32937" w:rsidRPr="001E75E3" w:rsidRDefault="00B77D6D" w:rsidP="00B32937">
      <w:pPr>
        <w:spacing w:after="120"/>
        <w:jc w:val="center"/>
        <w:rPr>
          <w:b/>
          <w:bCs/>
          <w:sz w:val="36"/>
          <w:szCs w:val="28"/>
        </w:rPr>
      </w:pPr>
      <w:r>
        <w:rPr>
          <w:spacing w:val="-2"/>
        </w:rPr>
        <w:t xml:space="preserve">Поставка </w:t>
      </w:r>
      <w:r w:rsidR="00931976" w:rsidRPr="00931976">
        <w:rPr>
          <w:spacing w:val="-2"/>
        </w:rPr>
        <w:t>комплектных трансформаторных подстанций с ТМГ (КТП с ТМГ)</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E44A8">
          <w:rPr>
            <w:noProof/>
            <w:webHidden/>
          </w:rPr>
          <w:t>2</w:t>
        </w:r>
        <w:r>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E44A8">
          <w:rPr>
            <w:noProof/>
            <w:webHidden/>
          </w:rPr>
          <w:t>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E44A8">
          <w:rPr>
            <w:noProof/>
            <w:webHidden/>
          </w:rPr>
          <w:t>5</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E44A8">
          <w:rPr>
            <w:noProof/>
            <w:webHidden/>
          </w:rPr>
          <w:t>6</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E44A8">
          <w:rPr>
            <w:noProof/>
            <w:webHidden/>
          </w:rPr>
          <w:t>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E44A8">
          <w:rPr>
            <w:noProof/>
            <w:webHidden/>
          </w:rPr>
          <w:t>8</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E44A8">
          <w:rPr>
            <w:noProof/>
            <w:webHidden/>
          </w:rPr>
          <w:t>9</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E44A8">
          <w:rPr>
            <w:noProof/>
            <w:webHidden/>
          </w:rPr>
          <w:t>10</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E44A8">
          <w:rPr>
            <w:noProof/>
            <w:webHidden/>
          </w:rPr>
          <w:t>11</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E44A8">
          <w:rPr>
            <w:noProof/>
            <w:webHidden/>
          </w:rPr>
          <w:t>12</w:t>
        </w:r>
        <w:r w:rsidR="00C25639" w:rsidRPr="00E63DC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E44A8">
          <w:rPr>
            <w:noProof/>
            <w:webHidden/>
          </w:rPr>
          <w:t>14</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E44A8">
          <w:rPr>
            <w:noProof/>
            <w:webHidden/>
          </w:rPr>
          <w:t>15</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E44A8">
          <w:rPr>
            <w:noProof/>
            <w:webHidden/>
          </w:rPr>
          <w:t>16</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E44A8">
          <w:rPr>
            <w:noProof/>
            <w:webHidden/>
          </w:rPr>
          <w:t>17</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E44A8">
          <w:rPr>
            <w:noProof/>
            <w:webHidden/>
          </w:rPr>
          <w:t>18</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E44A8">
          <w:rPr>
            <w:noProof/>
            <w:webHidden/>
          </w:rPr>
          <w:t>19</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DD661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E44A8">
          <w:rPr>
            <w:noProof/>
            <w:webHidden/>
          </w:rPr>
          <w:t>20</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E44A8">
          <w:rPr>
            <w:noProof/>
            <w:webHidden/>
          </w:rPr>
          <w:t>22</w:t>
        </w:r>
        <w:r w:rsidR="00C25639">
          <w:rPr>
            <w:noProof/>
            <w:webHidden/>
          </w:rPr>
          <w:fldChar w:fldCharType="end"/>
        </w:r>
      </w:hyperlink>
    </w:p>
    <w:p w:rsidR="002136D3" w:rsidRDefault="00DD66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E44A8">
          <w:rPr>
            <w:noProof/>
            <w:webHidden/>
          </w:rPr>
          <w:t>34</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E44A8">
          <w:rPr>
            <w:noProof/>
            <w:webHidden/>
          </w:rPr>
          <w:t>35</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E44A8">
          <w:rPr>
            <w:noProof/>
            <w:webHidden/>
          </w:rPr>
          <w:t>38</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E44A8">
          <w:rPr>
            <w:noProof/>
            <w:webHidden/>
          </w:rPr>
          <w:t>40</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E44A8">
          <w:rPr>
            <w:noProof/>
            <w:webHidden/>
          </w:rPr>
          <w:t>42</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E44A8">
          <w:rPr>
            <w:noProof/>
            <w:webHidden/>
          </w:rPr>
          <w:t>47</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E44A8">
          <w:rPr>
            <w:noProof/>
            <w:webHidden/>
          </w:rPr>
          <w:t>50</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7E7B1D">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E44A8">
          <w:rPr>
            <w:noProof/>
            <w:webHidden/>
          </w:rPr>
          <w:t>51</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7E7B1D">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E44A8">
          <w:rPr>
            <w:noProof/>
            <w:webHidden/>
          </w:rPr>
          <w:t>55</w:t>
        </w:r>
        <w:r w:rsidR="00C25639">
          <w:rPr>
            <w:noProof/>
            <w:webHidden/>
          </w:rPr>
          <w:fldChar w:fldCharType="end"/>
        </w:r>
      </w:hyperlink>
    </w:p>
    <w:p w:rsidR="002136D3" w:rsidRDefault="00DD661E">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7E7B1D">
          <w:rPr>
            <w:rStyle w:val="aff9"/>
            <w:noProof/>
          </w:rPr>
          <w:t>ФОРМА 10</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E44A8">
          <w:rPr>
            <w:noProof/>
            <w:webHidden/>
          </w:rPr>
          <w:t>57</w:t>
        </w:r>
        <w:r w:rsidR="00C25639" w:rsidRPr="00E63DC9">
          <w:rPr>
            <w:noProof/>
            <w:webHidden/>
          </w:rPr>
          <w:fldChar w:fldCharType="end"/>
        </w:r>
      </w:hyperlink>
    </w:p>
    <w:p w:rsidR="002136D3" w:rsidRDefault="00DD66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E44A8">
          <w:rPr>
            <w:noProof/>
            <w:webHidden/>
          </w:rPr>
          <w:t>59</w:t>
        </w:r>
        <w:r w:rsidR="00C25639">
          <w:rPr>
            <w:noProof/>
            <w:webHidden/>
          </w:rPr>
          <w:fldChar w:fldCharType="end"/>
        </w:r>
      </w:hyperlink>
    </w:p>
    <w:p w:rsidR="002136D3" w:rsidRDefault="00DD6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E44A8">
          <w:rPr>
            <w:noProof/>
            <w:webHidden/>
          </w:rPr>
          <w:t>60</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E44A8" w:rsidRPr="00DE44A8">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E44A8" w:rsidRPr="00DE44A8">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E44A8" w:rsidRPr="00DE44A8">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5A4CE8" w:rsidRDefault="00DE1D2E" w:rsidP="00DE1D2E">
            <w:pPr>
              <w:rPr>
                <w:lang w:val="en-US"/>
              </w:rPr>
            </w:pPr>
            <w:r>
              <w:rPr>
                <w:lang w:val="en-US"/>
              </w:rPr>
              <w:t>E</w:t>
            </w:r>
            <w:r w:rsidRPr="005A4CE8">
              <w:rPr>
                <w:lang w:val="en-US"/>
              </w:rPr>
              <w:t>-</w:t>
            </w:r>
            <w:r>
              <w:rPr>
                <w:lang w:val="en-US"/>
              </w:rPr>
              <w:t>mail</w:t>
            </w:r>
            <w:r w:rsidRPr="005A4CE8">
              <w:rPr>
                <w:lang w:val="en-US"/>
              </w:rPr>
              <w:t xml:space="preserve">:  </w:t>
            </w:r>
            <w:r>
              <w:rPr>
                <w:lang w:val="en-US"/>
              </w:rPr>
              <w:t>tuvaenergo</w:t>
            </w:r>
            <w:r w:rsidRPr="005A4CE8">
              <w:rPr>
                <w:lang w:val="en-US"/>
              </w:rPr>
              <w:t>@</w:t>
            </w:r>
            <w:r>
              <w:rPr>
                <w:lang w:val="en-US"/>
              </w:rPr>
              <w:t>tuva</w:t>
            </w:r>
            <w:r w:rsidRPr="005A4CE8">
              <w:rPr>
                <w:lang w:val="en-US"/>
              </w:rPr>
              <w:t>.</w:t>
            </w:r>
            <w:r>
              <w:rPr>
                <w:lang w:val="en-US"/>
              </w:rPr>
              <w:t>mrsk</w:t>
            </w:r>
            <w:r w:rsidRPr="005A4CE8">
              <w:rPr>
                <w:lang w:val="en-US"/>
              </w:rPr>
              <w:t>-</w:t>
            </w:r>
            <w:r>
              <w:rPr>
                <w:lang w:val="en-US"/>
              </w:rPr>
              <w:t>sib</w:t>
            </w:r>
            <w:r w:rsidRPr="005A4CE8">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B77D6D">
              <w:t xml:space="preserve"> П</w:t>
            </w:r>
            <w:r w:rsidR="00B77D6D">
              <w:rPr>
                <w:spacing w:val="-2"/>
              </w:rPr>
              <w:t xml:space="preserve">оставка </w:t>
            </w:r>
            <w:r w:rsidR="005D199A">
              <w:t xml:space="preserve"> </w:t>
            </w:r>
            <w:r w:rsidR="005D199A" w:rsidRPr="005D199A">
              <w:rPr>
                <w:spacing w:val="-2"/>
              </w:rPr>
              <w:t>реклоузеров 35 кВ (инновационное оборудование)</w:t>
            </w:r>
            <w:r w:rsidR="001E75E3" w:rsidRPr="001E75E3">
              <w:t xml:space="preserve"> </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Pr="00765ED9" w:rsidRDefault="00C61C6A" w:rsidP="00C61C6A">
            <w:pPr>
              <w:keepNext/>
              <w:keepLines/>
              <w:widowControl w:val="0"/>
              <w:suppressLineNumbers/>
              <w:suppressAutoHyphens/>
              <w:spacing w:after="0"/>
            </w:pPr>
            <w:r w:rsidRPr="00765ED9">
              <w:t xml:space="preserve">Место поставки товара (выполнения работ/ оказания услуг): </w:t>
            </w:r>
          </w:p>
          <w:p w:rsidR="00C61C6A" w:rsidRDefault="00B77D6D" w:rsidP="00C40080">
            <w:pPr>
              <w:spacing w:after="0"/>
            </w:pPr>
            <w:r w:rsidRPr="00271EEC">
              <w:t>Центральный склад АО «Тываэнерго» (Республика Тыва, г. Кызыл, ул. Колхозная,2)</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C61C6A" w:rsidRPr="00187C12" w:rsidRDefault="005D199A" w:rsidP="00425FE8">
            <w:pPr>
              <w:spacing w:after="0"/>
            </w:pPr>
            <w:r>
              <w:rPr>
                <w:color w:val="000000"/>
                <w:szCs w:val="22"/>
              </w:rPr>
              <w:t xml:space="preserve">В течение </w:t>
            </w:r>
            <w:r w:rsidR="00931976">
              <w:rPr>
                <w:color w:val="000000"/>
                <w:szCs w:val="22"/>
              </w:rPr>
              <w:t>6</w:t>
            </w:r>
            <w:r w:rsidR="00B77D6D" w:rsidRPr="00B77D6D">
              <w:rPr>
                <w:color w:val="000000"/>
                <w:szCs w:val="22"/>
              </w:rPr>
              <w:t xml:space="preserve">0 календарных дней с момента заключения договора на поставку </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B77D6D" w:rsidRPr="00271EEC" w:rsidRDefault="00425FE8" w:rsidP="00B77D6D">
            <w:pPr>
              <w:tabs>
                <w:tab w:val="left" w:pos="0"/>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931976" w:rsidRPr="00931976">
              <w:rPr>
                <w:color w:val="000000"/>
                <w:szCs w:val="22"/>
              </w:rPr>
              <w:t>9 959 668</w:t>
            </w:r>
            <w:r w:rsidR="00B77D6D" w:rsidRPr="00D574CC">
              <w:rPr>
                <w:bCs/>
                <w:sz w:val="28"/>
                <w:lang w:eastAsia="ar-SA"/>
              </w:rPr>
              <w:t xml:space="preserve"> </w:t>
            </w:r>
            <w:r w:rsidR="00B77D6D" w:rsidRPr="00271EEC">
              <w:rPr>
                <w:bCs/>
                <w:lang w:eastAsia="ar-SA"/>
              </w:rPr>
              <w:t>(</w:t>
            </w:r>
            <w:r w:rsidR="00931976">
              <w:rPr>
                <w:bCs/>
                <w:lang w:eastAsia="ar-SA"/>
              </w:rPr>
              <w:t>девя</w:t>
            </w:r>
            <w:r w:rsidR="005D199A">
              <w:rPr>
                <w:bCs/>
                <w:lang w:eastAsia="ar-SA"/>
              </w:rPr>
              <w:t>т</w:t>
            </w:r>
            <w:r w:rsidR="00931976">
              <w:rPr>
                <w:bCs/>
                <w:lang w:eastAsia="ar-SA"/>
              </w:rPr>
              <w:t>ь миллионов девятьсот пятьдесят девять тысяч шестьсот шестьдесят восемь</w:t>
            </w:r>
            <w:r w:rsidR="00B77D6D" w:rsidRPr="00271EEC">
              <w:rPr>
                <w:bCs/>
                <w:lang w:eastAsia="ar-SA"/>
              </w:rPr>
              <w:t>) рубл</w:t>
            </w:r>
            <w:r w:rsidR="00B77D6D">
              <w:rPr>
                <w:bCs/>
                <w:lang w:eastAsia="ar-SA"/>
              </w:rPr>
              <w:t>ей</w:t>
            </w:r>
            <w:r w:rsidR="00B77D6D" w:rsidRPr="00271EEC">
              <w:rPr>
                <w:bCs/>
                <w:lang w:eastAsia="ar-SA"/>
              </w:rPr>
              <w:t xml:space="preserve"> </w:t>
            </w:r>
            <w:r w:rsidR="00931976">
              <w:rPr>
                <w:bCs/>
                <w:lang w:eastAsia="ar-SA"/>
              </w:rPr>
              <w:t>10</w:t>
            </w:r>
            <w:r w:rsidR="00B77D6D" w:rsidRPr="00271EEC">
              <w:rPr>
                <w:bCs/>
                <w:lang w:eastAsia="ar-SA"/>
              </w:rPr>
              <w:t xml:space="preserve"> копе</w:t>
            </w:r>
            <w:r w:rsidR="00931976">
              <w:rPr>
                <w:bCs/>
                <w:lang w:eastAsia="ar-SA"/>
              </w:rPr>
              <w:t>ек</w:t>
            </w:r>
            <w:r w:rsidR="00B77D6D" w:rsidRPr="00271EEC">
              <w:rPr>
                <w:bCs/>
                <w:lang w:eastAsia="ar-SA"/>
              </w:rPr>
              <w:t xml:space="preserve">, кроме того НДС в размере 20 % - </w:t>
            </w:r>
            <w:r w:rsidR="00931976">
              <w:t>1 991 933</w:t>
            </w:r>
            <w:r w:rsidR="00B77D6D" w:rsidRPr="00271EEC">
              <w:rPr>
                <w:bCs/>
                <w:lang w:eastAsia="ar-SA"/>
              </w:rPr>
              <w:t xml:space="preserve"> (</w:t>
            </w:r>
            <w:r w:rsidR="005D199A">
              <w:rPr>
                <w:bCs/>
                <w:lang w:eastAsia="ar-SA"/>
              </w:rPr>
              <w:t xml:space="preserve">один миллион </w:t>
            </w:r>
            <w:r w:rsidR="00931976">
              <w:rPr>
                <w:bCs/>
                <w:lang w:eastAsia="ar-SA"/>
              </w:rPr>
              <w:t>девятьсот девяносто одна тысяча девятьсот тридцать три) рубля 62</w:t>
            </w:r>
            <w:r w:rsidR="00B77D6D" w:rsidRPr="00271EEC">
              <w:rPr>
                <w:bCs/>
                <w:lang w:eastAsia="ar-SA"/>
              </w:rPr>
              <w:t xml:space="preserve"> копе</w:t>
            </w:r>
            <w:r w:rsidR="00931976">
              <w:rPr>
                <w:bCs/>
                <w:lang w:eastAsia="ar-SA"/>
              </w:rPr>
              <w:t>йки</w:t>
            </w:r>
            <w:r w:rsidR="00B77D6D" w:rsidRPr="00271EEC">
              <w:rPr>
                <w:bCs/>
                <w:lang w:eastAsia="ar-SA"/>
              </w:rPr>
              <w:t>.</w:t>
            </w:r>
          </w:p>
          <w:p w:rsidR="00B77D6D" w:rsidRPr="00271EEC" w:rsidRDefault="00B77D6D" w:rsidP="00B77D6D">
            <w:pPr>
              <w:tabs>
                <w:tab w:val="left" w:pos="0"/>
                <w:tab w:val="left" w:pos="708"/>
              </w:tabs>
              <w:autoSpaceDE w:val="0"/>
              <w:autoSpaceDN w:val="0"/>
              <w:spacing w:before="60"/>
              <w:rPr>
                <w:bCs/>
                <w:lang w:eastAsia="ar-SA"/>
              </w:rPr>
            </w:pPr>
          </w:p>
          <w:p w:rsidR="00425FE8" w:rsidRPr="00DE1D2E" w:rsidRDefault="00B77D6D" w:rsidP="00B77D6D">
            <w:pPr>
              <w:tabs>
                <w:tab w:val="left" w:pos="708"/>
              </w:tabs>
              <w:autoSpaceDE w:val="0"/>
              <w:autoSpaceDN w:val="0"/>
              <w:spacing w:before="60"/>
              <w:rPr>
                <w:bCs/>
                <w:lang w:eastAsia="ar-SA"/>
              </w:rPr>
            </w:pPr>
            <w:r w:rsidRPr="00271EEC">
              <w:t>Начальная (максимальная) цена договора (цена лота) с учетом НДС составляет</w:t>
            </w:r>
            <w:r w:rsidRPr="00271EEC">
              <w:rPr>
                <w:bCs/>
                <w:lang w:eastAsia="ar-SA"/>
              </w:rPr>
              <w:t xml:space="preserve"> </w:t>
            </w:r>
            <w:r w:rsidR="00931976">
              <w:t>11 951 601</w:t>
            </w:r>
            <w:r w:rsidRPr="00271EEC">
              <w:rPr>
                <w:bCs/>
                <w:lang w:eastAsia="ar-SA"/>
              </w:rPr>
              <w:t xml:space="preserve"> (</w:t>
            </w:r>
            <w:r w:rsidR="00931976">
              <w:rPr>
                <w:bCs/>
                <w:lang w:eastAsia="ar-SA"/>
              </w:rPr>
              <w:t>одиннадцать миллионов девятьсот пятьдесят одна тысяча шестьсот один</w:t>
            </w:r>
            <w:r w:rsidRPr="00271EEC">
              <w:rPr>
                <w:bCs/>
                <w:lang w:eastAsia="ar-SA"/>
              </w:rPr>
              <w:t>) рубл</w:t>
            </w:r>
            <w:r w:rsidR="00931976">
              <w:rPr>
                <w:bCs/>
                <w:lang w:eastAsia="ar-SA"/>
              </w:rPr>
              <w:t>ь</w:t>
            </w:r>
            <w:r w:rsidRPr="00271EEC">
              <w:rPr>
                <w:bCs/>
                <w:lang w:eastAsia="ar-SA"/>
              </w:rPr>
              <w:t xml:space="preserve"> </w:t>
            </w:r>
            <w:r w:rsidR="00931976">
              <w:rPr>
                <w:bCs/>
                <w:lang w:eastAsia="ar-SA"/>
              </w:rPr>
              <w:t>72</w:t>
            </w:r>
            <w:r w:rsidRPr="00271EEC">
              <w:rPr>
                <w:bCs/>
                <w:lang w:eastAsia="ar-SA"/>
              </w:rPr>
              <w:t xml:space="preserve"> копе</w:t>
            </w:r>
            <w:r>
              <w:rPr>
                <w:bCs/>
                <w:lang w:eastAsia="ar-SA"/>
              </w:rPr>
              <w:t>йк</w:t>
            </w:r>
            <w:r w:rsidR="00931976">
              <w:rPr>
                <w:bCs/>
                <w:lang w:eastAsia="ar-SA"/>
              </w:rPr>
              <w:t>и</w:t>
            </w:r>
            <w:r w:rsidRPr="00271EEC">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w:t>
            </w:r>
            <w:r w:rsidR="005F4098">
              <w:t xml:space="preserve"> </w:t>
            </w:r>
            <w:r w:rsidR="00B77D6D">
              <w:rPr>
                <w:b/>
              </w:rPr>
              <w:t>применяется</w:t>
            </w:r>
            <w:r w:rsidR="006D7050" w:rsidRPr="00187C12">
              <w:rPr>
                <w:b/>
              </w:rPr>
              <w:t>;</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931976">
              <w:t>2</w:t>
            </w:r>
            <w:r w:rsidR="00310742">
              <w:t>4</w:t>
            </w:r>
            <w:r w:rsidRPr="00AE0FAB">
              <w:t xml:space="preserve">» </w:t>
            </w:r>
            <w:r w:rsidR="00931976">
              <w:t>дека</w:t>
            </w:r>
            <w:r w:rsidR="001E75E3">
              <w:t>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6661D9">
              <w:t>1</w:t>
            </w:r>
            <w:r w:rsidR="00310742">
              <w:t>4</w:t>
            </w:r>
            <w:r w:rsidRPr="00AE0FAB">
              <w:t xml:space="preserve">» </w:t>
            </w:r>
            <w:r w:rsidR="00452766">
              <w:t xml:space="preserve"> </w:t>
            </w:r>
            <w:r w:rsidR="00931976">
              <w:t>января</w:t>
            </w:r>
            <w:r w:rsidR="00452766" w:rsidRPr="00AE0FAB">
              <w:t xml:space="preserve"> </w:t>
            </w:r>
            <w:r w:rsidRPr="00AE0FAB">
              <w:t xml:space="preserve"> 20</w:t>
            </w:r>
            <w:r w:rsidR="00931976">
              <w:t>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6661D9">
              <w:t>2</w:t>
            </w:r>
            <w:r w:rsidR="00310742">
              <w:t>1</w:t>
            </w:r>
            <w:r w:rsidR="00AE0FAB" w:rsidRPr="00AE0FAB">
              <w:t xml:space="preserve">» </w:t>
            </w:r>
            <w:r w:rsidR="00931976">
              <w:t>февраля</w:t>
            </w:r>
            <w:r w:rsidRPr="00AE0FAB">
              <w:t xml:space="preserve"> 20</w:t>
            </w:r>
            <w:r w:rsidR="00931976">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6661D9">
              <w:t>2</w:t>
            </w:r>
            <w:r w:rsidR="00310742">
              <w:t>8</w:t>
            </w:r>
            <w:r w:rsidRPr="00AE0FAB">
              <w:t xml:space="preserve">» </w:t>
            </w:r>
            <w:r w:rsidR="00931976">
              <w:t>февраля</w:t>
            </w:r>
            <w:r w:rsidRPr="00AE0FAB">
              <w:t xml:space="preserve"> 20</w:t>
            </w:r>
            <w:r w:rsidR="00931976">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310742">
            <w:pPr>
              <w:spacing w:after="0"/>
            </w:pPr>
            <w:r w:rsidRPr="00AE0FAB">
              <w:t>«</w:t>
            </w:r>
            <w:r w:rsidR="006661D9">
              <w:t>1</w:t>
            </w:r>
            <w:r w:rsidR="00310742">
              <w:t>3</w:t>
            </w:r>
            <w:r w:rsidRPr="00AE0FAB">
              <w:t xml:space="preserve">» </w:t>
            </w:r>
            <w:r w:rsidR="00931976">
              <w:t>янва</w:t>
            </w:r>
            <w:r w:rsidR="006661D9">
              <w:t>ря</w:t>
            </w:r>
            <w:r w:rsidR="00931976">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EA0365" w:rsidRPr="00B77D6D" w:rsidRDefault="00500DC9" w:rsidP="00B77D6D">
      <w:pPr>
        <w:spacing w:after="0"/>
        <w:ind w:firstLine="567"/>
        <w:jc w:val="right"/>
        <w:rPr>
          <w:b/>
          <w:bCs/>
        </w:rPr>
      </w:pPr>
      <w:r>
        <w:rPr>
          <w:b/>
          <w:bCs/>
        </w:rPr>
        <w:br w:type="page"/>
      </w:r>
    </w:p>
    <w:p w:rsidR="006661D9" w:rsidRPr="002972FA" w:rsidRDefault="006661D9" w:rsidP="006661D9">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6661D9" w:rsidRPr="002972FA" w:rsidRDefault="006661D9" w:rsidP="006661D9">
      <w:pPr>
        <w:jc w:val="right"/>
        <w:rPr>
          <w:b/>
        </w:rPr>
      </w:pPr>
      <w:r w:rsidRPr="002972FA">
        <w:rPr>
          <w:b/>
        </w:rPr>
        <w:t xml:space="preserve">к части II «ИНФОРМАЦИОННАЯ КАРТА ЗАКУПКИ» </w:t>
      </w:r>
    </w:p>
    <w:p w:rsidR="006661D9" w:rsidRPr="006661D9" w:rsidRDefault="006661D9" w:rsidP="006661D9">
      <w:pPr>
        <w:pStyle w:val="afffff6"/>
        <w:keepLines/>
        <w:numPr>
          <w:ilvl w:val="0"/>
          <w:numId w:val="60"/>
        </w:numPr>
        <w:spacing w:before="120" w:after="120"/>
        <w:ind w:left="0" w:firstLine="567"/>
        <w:contextualSpacing/>
        <w:jc w:val="both"/>
      </w:pPr>
      <w:r w:rsidRPr="006661D9">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b/>
              </w:rPr>
            </w:pPr>
            <w:r w:rsidRPr="006661D9">
              <w:rPr>
                <w:rFonts w:ascii="Times New Roman" w:hAnsi="Times New Roman" w:cs="Times New Roman"/>
                <w:b/>
              </w:rPr>
              <w:t>N п/п</w:t>
            </w:r>
          </w:p>
        </w:tc>
        <w:tc>
          <w:tcPr>
            <w:tcW w:w="5029"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Критерии (подкритерии) оценки заявки</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Весовое значение критерия</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1</w:t>
            </w:r>
          </w:p>
        </w:tc>
        <w:tc>
          <w:tcPr>
            <w:tcW w:w="5029" w:type="dxa"/>
          </w:tcPr>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rPr>
              <w:t>Ценовой критерий (рейтинг по критерию стоимости заявки)</w:t>
            </w:r>
          </w:p>
          <w:p w:rsidR="006661D9" w:rsidRPr="006661D9" w:rsidRDefault="006661D9" w:rsidP="00F9282C">
            <w:pPr>
              <w:pStyle w:val="ConsPlusNormal"/>
              <w:ind w:firstLine="0"/>
              <w:rPr>
                <w:rFonts w:ascii="Times New Roman" w:hAnsi="Times New Roman" w:cs="Times New Roman"/>
                <w:b/>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si</w:t>
            </w:r>
            <w:r w:rsidRPr="006661D9">
              <w:rPr>
                <w:rFonts w:ascii="Times New Roman" w:hAnsi="Times New Roman" w:cs="Times New Roman"/>
                <w:b/>
                <w:vertAlign w:val="subscript"/>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s</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0,9</w:t>
            </w:r>
          </w:p>
        </w:tc>
      </w:tr>
      <w:tr w:rsidR="006661D9" w:rsidRPr="006661D9" w:rsidTr="00F9282C">
        <w:tc>
          <w:tcPr>
            <w:tcW w:w="642" w:type="dxa"/>
          </w:tcPr>
          <w:p w:rsidR="006661D9" w:rsidRPr="006661D9" w:rsidRDefault="006661D9" w:rsidP="00F9282C">
            <w:pPr>
              <w:pStyle w:val="ConsPlusNormal"/>
              <w:ind w:firstLine="12"/>
              <w:jc w:val="center"/>
              <w:rPr>
                <w:rFonts w:ascii="Times New Roman" w:hAnsi="Times New Roman" w:cs="Times New Roman"/>
              </w:rPr>
            </w:pPr>
            <w:r w:rsidRPr="006661D9">
              <w:rPr>
                <w:rFonts w:ascii="Times New Roman" w:hAnsi="Times New Roman" w:cs="Times New Roman"/>
              </w:rPr>
              <w:t>2</w:t>
            </w:r>
          </w:p>
        </w:tc>
        <w:tc>
          <w:tcPr>
            <w:tcW w:w="5029" w:type="dxa"/>
          </w:tcPr>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eastAsia="Calibri" w:hAnsi="Times New Roman" w:cs="Times New Roman"/>
                <w:b/>
                <w:lang w:eastAsia="en-US"/>
              </w:rPr>
              <w:t>Соответствие финансового состояния участника</w:t>
            </w:r>
          </w:p>
          <w:p w:rsidR="006661D9" w:rsidRPr="006661D9" w:rsidRDefault="006661D9" w:rsidP="00F9282C">
            <w:pPr>
              <w:pStyle w:val="ConsPlusNormal"/>
              <w:ind w:firstLine="0"/>
              <w:rPr>
                <w:rFonts w:ascii="Times New Roman" w:eastAsia="Calibri" w:hAnsi="Times New Roman" w:cs="Times New Roman"/>
                <w:b/>
                <w:lang w:eastAsia="en-US"/>
              </w:rPr>
            </w:pPr>
            <w:r w:rsidRPr="006661D9">
              <w:rPr>
                <w:rFonts w:ascii="Times New Roman" w:hAnsi="Times New Roman" w:cs="Times New Roman"/>
                <w:b/>
                <w:lang w:val="en-US"/>
              </w:rPr>
              <w:t>R</w:t>
            </w:r>
            <w:r w:rsidRPr="006661D9">
              <w:rPr>
                <w:rFonts w:ascii="Times New Roman" w:hAnsi="Times New Roman" w:cs="Times New Roman"/>
                <w:b/>
                <w:i/>
                <w:iCs/>
                <w:vertAlign w:val="subscript"/>
                <w:lang w:val="en-US"/>
              </w:rPr>
              <w:t>fi</w:t>
            </w:r>
            <w:r w:rsidRPr="006661D9">
              <w:rPr>
                <w:rFonts w:ascii="Times New Roman" w:hAnsi="Times New Roman" w:cs="Times New Roman"/>
                <w:b/>
              </w:rPr>
              <w:t>,</w:t>
            </w:r>
            <w:r w:rsidRPr="006661D9">
              <w:rPr>
                <w:rFonts w:ascii="Times New Roman" w:hAnsi="Times New Roman" w:cs="Times New Roman"/>
                <w:b/>
                <w:lang w:val="en-US"/>
              </w:rPr>
              <w:t>V</w:t>
            </w:r>
            <w:r w:rsidRPr="006661D9">
              <w:rPr>
                <w:rFonts w:ascii="Times New Roman" w:hAnsi="Times New Roman" w:cs="Times New Roman"/>
                <w:b/>
                <w:vertAlign w:val="subscript"/>
                <w:lang w:val="en-US"/>
              </w:rPr>
              <w:t>f</w:t>
            </w:r>
          </w:p>
        </w:tc>
        <w:tc>
          <w:tcPr>
            <w:tcW w:w="2693" w:type="dxa"/>
          </w:tcPr>
          <w:p w:rsidR="006661D9" w:rsidRPr="006661D9" w:rsidRDefault="006661D9" w:rsidP="00F9282C">
            <w:pPr>
              <w:pStyle w:val="ConsPlusNormal"/>
              <w:ind w:firstLine="0"/>
              <w:jc w:val="center"/>
              <w:rPr>
                <w:rFonts w:ascii="Times New Roman" w:hAnsi="Times New Roman" w:cs="Times New Roman"/>
                <w:b/>
              </w:rPr>
            </w:pPr>
            <w:r w:rsidRPr="006661D9">
              <w:rPr>
                <w:rFonts w:ascii="Times New Roman" w:hAnsi="Times New Roman" w:cs="Times New Roman"/>
                <w:b/>
              </w:rPr>
              <w:t>0,1</w:t>
            </w:r>
          </w:p>
        </w:tc>
      </w:tr>
    </w:tbl>
    <w:p w:rsidR="006661D9" w:rsidRPr="006661D9" w:rsidRDefault="006661D9" w:rsidP="006661D9">
      <w:pPr>
        <w:spacing w:after="0"/>
        <w:jc w:val="left"/>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6661D9" w:rsidRPr="006661D9" w:rsidRDefault="006661D9" w:rsidP="006661D9">
      <w:pPr>
        <w:ind w:firstLine="851"/>
        <w:jc w:val="center"/>
        <w:rPr>
          <w:rFonts w:eastAsia="Calibri"/>
          <w:lang w:eastAsia="en-US"/>
        </w:rPr>
      </w:pPr>
      <w:r w:rsidRPr="006661D9">
        <w:rPr>
          <w:rFonts w:eastAsia="Calibri"/>
          <w:bCs/>
          <w:lang w:val="en-US" w:eastAsia="en-US"/>
        </w:rPr>
        <w:t>R</w:t>
      </w:r>
      <w:r w:rsidRPr="006661D9">
        <w:rPr>
          <w:rFonts w:eastAsia="Calibri"/>
          <w:bCs/>
          <w:vertAlign w:val="subscript"/>
          <w:lang w:val="en-US" w:eastAsia="en-US"/>
        </w:rPr>
        <w:t>i</w:t>
      </w:r>
      <w:r w:rsidRPr="006661D9">
        <w:rPr>
          <w:rFonts w:eastAsia="Calibri"/>
          <w:lang w:eastAsia="en-US"/>
        </w:rPr>
        <w:t>=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val="en-US" w:eastAsia="en-US"/>
        </w:rPr>
        <w:t>xV</w:t>
      </w:r>
      <w:r w:rsidRPr="006661D9">
        <w:rPr>
          <w:rFonts w:eastAsia="Calibri"/>
          <w:vertAlign w:val="subscript"/>
          <w:lang w:val="en-US" w:eastAsia="en-US"/>
        </w:rPr>
        <w:t>s</w:t>
      </w:r>
      <w:r w:rsidRPr="006661D9">
        <w:rPr>
          <w:rFonts w:eastAsia="Calibri"/>
          <w:lang w:eastAsia="en-US"/>
        </w:rPr>
        <w:t>) +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val="en-US" w:eastAsia="en-US"/>
        </w:rPr>
        <w:t>xV</w:t>
      </w:r>
      <w:r w:rsidRPr="006661D9">
        <w:rPr>
          <w:rFonts w:eastAsia="Calibri"/>
          <w:vertAlign w:val="subscript"/>
          <w:lang w:val="en-US" w:eastAsia="en-US"/>
        </w:rPr>
        <w:t>f</w:t>
      </w:r>
      <w:r w:rsidRPr="006661D9">
        <w:rPr>
          <w:rFonts w:eastAsia="Calibri"/>
          <w:lang w:eastAsia="en-US"/>
        </w:rPr>
        <w:t>)</w:t>
      </w:r>
    </w:p>
    <w:p w:rsidR="006661D9" w:rsidRPr="006661D9" w:rsidRDefault="006661D9" w:rsidP="006661D9">
      <w:pPr>
        <w:ind w:firstLine="851"/>
        <w:jc w:val="left"/>
        <w:rPr>
          <w:rFonts w:eastAsia="Calibri"/>
          <w:i/>
          <w:lang w:eastAsia="en-US"/>
        </w:rPr>
      </w:pPr>
      <w:r w:rsidRPr="006661D9">
        <w:rPr>
          <w:rFonts w:eastAsia="Calibri"/>
          <w:i/>
          <w:lang w:eastAsia="en-US"/>
        </w:rPr>
        <w:t>где:</w:t>
      </w:r>
    </w:p>
    <w:p w:rsidR="006661D9" w:rsidRPr="006661D9" w:rsidRDefault="006661D9" w:rsidP="006661D9">
      <w:pPr>
        <w:ind w:firstLine="851"/>
        <w:jc w:val="left"/>
        <w:rPr>
          <w:rFonts w:eastAsia="Calibri"/>
          <w:sz w:val="20"/>
          <w:szCs w:val="20"/>
          <w:lang w:eastAsia="en-US"/>
        </w:rPr>
      </w:pPr>
      <w:r w:rsidRPr="006661D9">
        <w:rPr>
          <w:rFonts w:eastAsia="Calibri"/>
          <w:bCs/>
          <w:sz w:val="20"/>
          <w:szCs w:val="20"/>
          <w:lang w:eastAsia="en-US"/>
        </w:rPr>
        <w:t>Ri </w:t>
      </w:r>
      <w:r w:rsidRPr="006661D9">
        <w:rPr>
          <w:rFonts w:eastAsia="Calibri"/>
          <w:sz w:val="20"/>
          <w:szCs w:val="20"/>
          <w:lang w:eastAsia="en-US"/>
        </w:rPr>
        <w:t>  - общий рейтинг предпочтительности  i-й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si</w:t>
      </w:r>
      <w:r w:rsidRPr="006661D9">
        <w:rPr>
          <w:rFonts w:eastAsia="Calibri"/>
          <w:sz w:val="20"/>
          <w:szCs w:val="20"/>
          <w:lang w:val="en-US" w:eastAsia="en-US"/>
        </w:rPr>
        <w:t> </w:t>
      </w:r>
      <w:r w:rsidRPr="006661D9">
        <w:rPr>
          <w:rFonts w:eastAsia="Calibri"/>
          <w:sz w:val="20"/>
          <w:szCs w:val="20"/>
          <w:lang w:eastAsia="en-US"/>
        </w:rPr>
        <w:t>-  оценка в баллах по ценовому критерию (по критерию стоимости заявки);</w:t>
      </w:r>
    </w:p>
    <w:p w:rsidR="006661D9" w:rsidRPr="006661D9" w:rsidRDefault="006661D9" w:rsidP="006661D9">
      <w:pPr>
        <w:ind w:firstLine="851"/>
        <w:jc w:val="left"/>
        <w:rPr>
          <w:rFonts w:eastAsia="Calibri"/>
          <w:sz w:val="20"/>
          <w:szCs w:val="20"/>
          <w:lang w:eastAsia="en-US"/>
        </w:rPr>
      </w:pPr>
      <w:r w:rsidRPr="006661D9">
        <w:rPr>
          <w:rFonts w:eastAsia="Calibri"/>
          <w:sz w:val="20"/>
          <w:szCs w:val="20"/>
          <w:lang w:val="en-US" w:eastAsia="en-US"/>
        </w:rPr>
        <w:t>R</w:t>
      </w:r>
      <w:r w:rsidRPr="006661D9">
        <w:rPr>
          <w:rFonts w:eastAsia="Calibri"/>
          <w:i/>
          <w:iCs/>
          <w:sz w:val="20"/>
          <w:szCs w:val="20"/>
          <w:vertAlign w:val="subscript"/>
          <w:lang w:val="en-US" w:eastAsia="en-US"/>
        </w:rPr>
        <w:t>fi</w:t>
      </w:r>
      <w:r w:rsidRPr="006661D9">
        <w:rPr>
          <w:rFonts w:eastAsia="Calibri"/>
          <w:sz w:val="20"/>
          <w:szCs w:val="20"/>
          <w:lang w:eastAsia="en-US"/>
        </w:rPr>
        <w:t xml:space="preserve">-  оценка в баллах по критерию «соответствие финансового состояния участника»; </w:t>
      </w:r>
    </w:p>
    <w:p w:rsidR="006661D9" w:rsidRPr="006661D9" w:rsidRDefault="006661D9" w:rsidP="006661D9">
      <w:pPr>
        <w:widowControl w:val="0"/>
        <w:tabs>
          <w:tab w:val="left" w:pos="0"/>
          <w:tab w:val="left" w:pos="1560"/>
        </w:tabs>
        <w:ind w:firstLine="851"/>
        <w:rPr>
          <w:rFonts w:eastAsia="Calibri"/>
          <w:sz w:val="20"/>
          <w:szCs w:val="20"/>
        </w:rPr>
      </w:pPr>
      <w:r w:rsidRPr="006661D9">
        <w:rPr>
          <w:rFonts w:eastAsia="Arial Unicode MS"/>
          <w:sz w:val="20"/>
          <w:szCs w:val="20"/>
        </w:rPr>
        <w:t>V</w:t>
      </w:r>
      <w:r w:rsidRPr="006661D9">
        <w:rPr>
          <w:rFonts w:eastAsia="Arial Unicode MS"/>
          <w:sz w:val="20"/>
          <w:szCs w:val="20"/>
          <w:lang w:val="en-US"/>
        </w:rPr>
        <w:t>s</w:t>
      </w:r>
      <w:r w:rsidRPr="006661D9">
        <w:rPr>
          <w:rFonts w:eastAsia="Arial Unicode MS"/>
          <w:sz w:val="20"/>
          <w:szCs w:val="20"/>
        </w:rPr>
        <w:t xml:space="preserve">, </w:t>
      </w:r>
      <w:r w:rsidRPr="006661D9">
        <w:rPr>
          <w:rFonts w:eastAsia="Calibri"/>
          <w:sz w:val="20"/>
          <w:szCs w:val="20"/>
          <w:lang w:val="en-US" w:eastAsia="en-US"/>
        </w:rPr>
        <w:t>V</w:t>
      </w:r>
      <w:r w:rsidRPr="006661D9">
        <w:rPr>
          <w:rFonts w:eastAsia="Calibri"/>
          <w:sz w:val="20"/>
          <w:szCs w:val="20"/>
          <w:vertAlign w:val="subscript"/>
          <w:lang w:val="en-US" w:eastAsia="en-US"/>
        </w:rPr>
        <w:t>f</w:t>
      </w:r>
      <w:r w:rsidRPr="006661D9">
        <w:rPr>
          <w:rFonts w:eastAsia="Arial Unicode MS"/>
          <w:sz w:val="20"/>
          <w:szCs w:val="20"/>
        </w:rPr>
        <w:t xml:space="preserve"> – весовые коэффициенты соответствующих критериев</w:t>
      </w:r>
      <w:r w:rsidRPr="006661D9">
        <w:rPr>
          <w:rFonts w:eastAsia="Calibri"/>
          <w:sz w:val="20"/>
          <w:szCs w:val="20"/>
        </w:rPr>
        <w:t>.</w:t>
      </w:r>
    </w:p>
    <w:p w:rsidR="006661D9" w:rsidRPr="006661D9" w:rsidRDefault="006661D9" w:rsidP="006661D9">
      <w:pPr>
        <w:pStyle w:val="afffff6"/>
        <w:widowControl w:val="0"/>
        <w:numPr>
          <w:ilvl w:val="1"/>
          <w:numId w:val="60"/>
        </w:numPr>
        <w:ind w:left="0" w:firstLine="567"/>
        <w:jc w:val="both"/>
      </w:pPr>
      <w:r w:rsidRPr="006661D9">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6661D9" w:rsidRPr="006661D9" w:rsidRDefault="006661D9" w:rsidP="006661D9">
      <w:pPr>
        <w:pStyle w:val="afffff6"/>
        <w:widowControl w:val="0"/>
        <w:ind w:left="0"/>
        <w:contextualSpacing/>
        <w:jc w:val="both"/>
        <w:rPr>
          <w:b/>
          <w: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рейтинга (оценка) по критерию стоимости заявки (</w:t>
      </w:r>
      <w:r w:rsidRPr="006661D9">
        <w:rPr>
          <w:rFonts w:eastAsia="Calibri"/>
          <w:lang w:val="en-US" w:eastAsia="en-US"/>
        </w:rPr>
        <w:t>R</w:t>
      </w:r>
      <w:r w:rsidRPr="006661D9">
        <w:rPr>
          <w:rFonts w:eastAsia="Calibri"/>
          <w:i/>
          <w:iCs/>
          <w:vertAlign w:val="subscript"/>
          <w:lang w:val="en-US" w:eastAsia="en-US"/>
        </w:rPr>
        <w:t>si</w:t>
      </w:r>
      <w:r w:rsidRPr="006661D9">
        <w:rPr>
          <w:rFonts w:eastAsia="Calibri"/>
          <w:lang w:eastAsia="en-US"/>
        </w:rPr>
        <w:t>)</w:t>
      </w:r>
    </w:p>
    <w:p w:rsidR="006661D9" w:rsidRPr="006661D9" w:rsidRDefault="006661D9" w:rsidP="006661D9">
      <w:pPr>
        <w:pStyle w:val="Default"/>
        <w:ind w:firstLine="567"/>
        <w:jc w:val="both"/>
      </w:pPr>
      <w:r w:rsidRPr="006661D9">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6661D9" w:rsidRPr="006661D9" w:rsidRDefault="006661D9" w:rsidP="006661D9">
      <w:pPr>
        <w:pStyle w:val="Default"/>
        <w:ind w:firstLine="567"/>
        <w:jc w:val="both"/>
      </w:pP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r w:rsidRPr="006661D9">
        <w:rPr>
          <w:lang w:val="en-US"/>
        </w:rPr>
        <w:t xml:space="preserve"> - S</w:t>
      </w:r>
      <w:r w:rsidRPr="006661D9">
        <w:rPr>
          <w:vertAlign w:val="subscript"/>
          <w:lang w:val="en-US"/>
        </w:rPr>
        <w:t>i</w:t>
      </w:r>
    </w:p>
    <w:p w:rsidR="006661D9" w:rsidRPr="006661D9" w:rsidRDefault="006661D9" w:rsidP="006661D9">
      <w:pPr>
        <w:pStyle w:val="Default"/>
        <w:ind w:firstLine="4253"/>
        <w:jc w:val="both"/>
        <w:rPr>
          <w:lang w:val="en-US"/>
        </w:rPr>
      </w:pPr>
      <w:r w:rsidRPr="006661D9">
        <w:rPr>
          <w:lang w:val="en-US"/>
        </w:rPr>
        <w:t>R</w:t>
      </w:r>
      <w:r w:rsidRPr="006661D9">
        <w:rPr>
          <w:vertAlign w:val="subscript"/>
          <w:lang w:val="en-US"/>
        </w:rPr>
        <w:t>si</w:t>
      </w:r>
      <w:r w:rsidRPr="006661D9">
        <w:rPr>
          <w:lang w:val="en-US"/>
        </w:rPr>
        <w:t xml:space="preserve">= ------------- x 100, </w:t>
      </w:r>
    </w:p>
    <w:p w:rsidR="006661D9" w:rsidRPr="006661D9" w:rsidRDefault="006661D9" w:rsidP="006661D9">
      <w:pPr>
        <w:pStyle w:val="Default"/>
        <w:ind w:firstLine="4253"/>
        <w:jc w:val="both"/>
        <w:rPr>
          <w:lang w:val="en-US"/>
        </w:rPr>
      </w:pPr>
      <w:r w:rsidRPr="006661D9">
        <w:rPr>
          <w:lang w:val="en-US"/>
        </w:rPr>
        <w:t>S</w:t>
      </w:r>
      <w:r w:rsidRPr="006661D9">
        <w:rPr>
          <w:vertAlign w:val="subscript"/>
          <w:lang w:val="en-US"/>
        </w:rPr>
        <w:t>max</w:t>
      </w:r>
    </w:p>
    <w:p w:rsidR="006661D9" w:rsidRPr="006661D9" w:rsidRDefault="006661D9" w:rsidP="006661D9">
      <w:pPr>
        <w:pStyle w:val="Default"/>
        <w:ind w:firstLine="567"/>
        <w:jc w:val="both"/>
        <w:rPr>
          <w:lang w:val="en-US"/>
        </w:rPr>
      </w:pPr>
    </w:p>
    <w:p w:rsidR="006661D9" w:rsidRPr="006661D9" w:rsidRDefault="006661D9" w:rsidP="006661D9">
      <w:pPr>
        <w:ind w:firstLine="851"/>
        <w:jc w:val="left"/>
        <w:rPr>
          <w:rFonts w:eastAsia="Calibri"/>
          <w:i/>
          <w:lang w:val="en-US" w:eastAsia="en-US"/>
        </w:rPr>
      </w:pPr>
      <w:r w:rsidRPr="006661D9">
        <w:rPr>
          <w:rFonts w:eastAsia="Calibri"/>
          <w:i/>
          <w:lang w:eastAsia="en-US"/>
        </w:rPr>
        <w:t>где</w:t>
      </w:r>
      <w:r w:rsidRPr="006661D9">
        <w:rPr>
          <w:rFonts w:eastAsia="Calibri"/>
          <w:i/>
          <w:lang w:val="en-US" w:eastAsia="en-US"/>
        </w:rPr>
        <w:t xml:space="preserve">: </w:t>
      </w:r>
    </w:p>
    <w:p w:rsidR="006661D9" w:rsidRPr="006661D9" w:rsidRDefault="006661D9" w:rsidP="006661D9">
      <w:pPr>
        <w:pStyle w:val="Default"/>
        <w:ind w:firstLine="851"/>
        <w:jc w:val="both"/>
        <w:rPr>
          <w:sz w:val="20"/>
          <w:szCs w:val="20"/>
        </w:rPr>
      </w:pPr>
      <w:r w:rsidRPr="006661D9">
        <w:rPr>
          <w:sz w:val="20"/>
          <w:szCs w:val="20"/>
        </w:rPr>
        <w:t>R</w:t>
      </w:r>
      <w:r w:rsidRPr="006661D9">
        <w:rPr>
          <w:sz w:val="20"/>
          <w:szCs w:val="20"/>
          <w:vertAlign w:val="subscript"/>
        </w:rPr>
        <w:t>si</w:t>
      </w:r>
      <w:r w:rsidRPr="006661D9">
        <w:rPr>
          <w:sz w:val="20"/>
          <w:szCs w:val="20"/>
        </w:rPr>
        <w:t xml:space="preserve"> - оценка (рейтинг) i-й заявки по критерию стоимости;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max</w:t>
      </w:r>
      <w:r w:rsidRPr="006661D9">
        <w:rPr>
          <w:sz w:val="20"/>
          <w:szCs w:val="20"/>
        </w:rPr>
        <w:t xml:space="preserve"> - объявленная начальная (максимальная) цена лота; </w:t>
      </w:r>
    </w:p>
    <w:p w:rsidR="006661D9" w:rsidRPr="006661D9" w:rsidRDefault="006661D9" w:rsidP="006661D9">
      <w:pPr>
        <w:pStyle w:val="Default"/>
        <w:ind w:firstLine="851"/>
        <w:jc w:val="both"/>
        <w:rPr>
          <w:sz w:val="20"/>
          <w:szCs w:val="20"/>
        </w:rPr>
      </w:pPr>
      <w:r w:rsidRPr="006661D9">
        <w:rPr>
          <w:sz w:val="20"/>
          <w:szCs w:val="20"/>
        </w:rPr>
        <w:t>S</w:t>
      </w:r>
      <w:r w:rsidRPr="006661D9">
        <w:rPr>
          <w:sz w:val="20"/>
          <w:szCs w:val="20"/>
          <w:vertAlign w:val="subscript"/>
        </w:rPr>
        <w:t>i</w:t>
      </w:r>
      <w:r w:rsidRPr="006661D9">
        <w:rPr>
          <w:sz w:val="20"/>
          <w:szCs w:val="20"/>
        </w:rPr>
        <w:t xml:space="preserve"> - стоимость заявки i-го участника.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Для целей оценки заявок по ценовому критерию применяются ценовые предложения участников закупки без НДС.</w:t>
      </w:r>
    </w:p>
    <w:p w:rsidR="006661D9" w:rsidRPr="006661D9" w:rsidRDefault="006661D9" w:rsidP="006661D9">
      <w:pPr>
        <w:pStyle w:val="Default"/>
        <w:ind w:firstLine="567"/>
        <w:jc w:val="both"/>
      </w:pPr>
      <w:r w:rsidRPr="006661D9">
        <w:t>Полученное значение R</w:t>
      </w:r>
      <w:r w:rsidRPr="006661D9">
        <w:rPr>
          <w:vertAlign w:val="subscript"/>
        </w:rPr>
        <w:t xml:space="preserve">si </w:t>
      </w:r>
      <w:r w:rsidRPr="006661D9">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6661D9" w:rsidRPr="006661D9" w:rsidRDefault="006661D9" w:rsidP="006661D9">
      <w:pPr>
        <w:pStyle w:val="Default"/>
        <w:ind w:firstLine="567"/>
        <w:jc w:val="both"/>
      </w:pPr>
    </w:p>
    <w:p w:rsidR="006661D9" w:rsidRPr="006661D9" w:rsidRDefault="006661D9" w:rsidP="006661D9">
      <w:pPr>
        <w:pStyle w:val="Default"/>
        <w:ind w:firstLine="567"/>
        <w:jc w:val="both"/>
      </w:pPr>
      <w:r w:rsidRPr="006661D9">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661D9" w:rsidRPr="006661D9" w:rsidRDefault="006661D9" w:rsidP="006661D9">
      <w:pPr>
        <w:tabs>
          <w:tab w:val="left" w:pos="1701"/>
        </w:tabs>
        <w:spacing w:after="0"/>
        <w:ind w:firstLine="567"/>
        <w:rPr>
          <w:rFonts w:eastAsia="Calibri"/>
        </w:rPr>
      </w:pPr>
    </w:p>
    <w:p w:rsidR="006661D9" w:rsidRPr="006661D9" w:rsidRDefault="006661D9" w:rsidP="006661D9">
      <w:pPr>
        <w:pStyle w:val="afffff6"/>
        <w:numPr>
          <w:ilvl w:val="0"/>
          <w:numId w:val="60"/>
        </w:numPr>
        <w:shd w:val="clear" w:color="auto" w:fill="FFFFFF"/>
        <w:autoSpaceDE w:val="0"/>
        <w:autoSpaceDN w:val="0"/>
        <w:spacing w:after="120"/>
        <w:ind w:left="0" w:right="159" w:firstLine="567"/>
        <w:contextualSpacing/>
        <w:jc w:val="both"/>
        <w:rPr>
          <w:rFonts w:eastAsia="Calibri"/>
          <w:lang w:eastAsia="en-US"/>
        </w:rPr>
      </w:pPr>
      <w:r w:rsidRPr="006661D9">
        <w:rPr>
          <w:rFonts w:eastAsia="Calibri"/>
          <w:lang w:eastAsia="en-US"/>
        </w:rPr>
        <w:t>Расчет по критерию «Соответствие финансового состояния участника» (</w:t>
      </w:r>
      <w:r w:rsidRPr="006661D9">
        <w:rPr>
          <w:rFonts w:eastAsia="Calibri"/>
          <w:lang w:val="en-US" w:eastAsia="en-US"/>
        </w:rPr>
        <w:t>R</w:t>
      </w:r>
      <w:r w:rsidRPr="006661D9">
        <w:rPr>
          <w:rFonts w:eastAsia="Calibri"/>
          <w:i/>
          <w:iCs/>
          <w:vertAlign w:val="subscript"/>
          <w:lang w:val="en-US" w:eastAsia="en-US"/>
        </w:rPr>
        <w:t>fi</w:t>
      </w:r>
      <w:r w:rsidRPr="006661D9">
        <w:rPr>
          <w:rFonts w:eastAsia="Calibri"/>
          <w:lang w:eastAsia="en-US"/>
        </w:rPr>
        <w:t>)</w:t>
      </w:r>
    </w:p>
    <w:p w:rsidR="006661D9" w:rsidRPr="006661D9" w:rsidRDefault="006661D9" w:rsidP="006661D9">
      <w:pPr>
        <w:pStyle w:val="afffff2"/>
        <w:ind w:firstLine="560"/>
        <w:jc w:val="both"/>
        <w:rPr>
          <w:rFonts w:eastAsia="Calibri"/>
        </w:rPr>
      </w:pPr>
      <w:r w:rsidRPr="006661D9">
        <w:rPr>
          <w:rFonts w:eastAsia="Calibri"/>
        </w:rPr>
        <w:t>Расчет по критерию «</w:t>
      </w:r>
      <w:r w:rsidRPr="006661D9">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6661D9">
        <w:t>ствии с приведенной Методикой оценки</w:t>
      </w:r>
      <w:r w:rsidRPr="006661D9">
        <w:rPr>
          <w:rFonts w:eastAsia="Calibri"/>
          <w:bCs/>
          <w:vertAlign w:val="superscript"/>
          <w:lang w:eastAsia="ar-SA"/>
        </w:rPr>
        <w:t>1</w:t>
      </w:r>
      <w:r w:rsidRPr="006661D9">
        <w:t>.</w:t>
      </w:r>
    </w:p>
    <w:p w:rsidR="006661D9" w:rsidRPr="006661D9" w:rsidRDefault="006661D9" w:rsidP="006661D9">
      <w:pPr>
        <w:pStyle w:val="afffff6"/>
        <w:tabs>
          <w:tab w:val="left" w:pos="1701"/>
        </w:tabs>
        <w:spacing w:before="120"/>
        <w:ind w:left="0" w:firstLine="560"/>
        <w:rPr>
          <w:rFonts w:eastAsia="Calibri"/>
        </w:rPr>
      </w:pPr>
      <w:r w:rsidRPr="006661D9">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6661D9" w:rsidRPr="006661D9" w:rsidTr="00F9282C">
        <w:trPr>
          <w:trHeight w:val="608"/>
          <w:tblHeader/>
          <w:jc w:val="center"/>
        </w:trPr>
        <w:tc>
          <w:tcPr>
            <w:tcW w:w="1433"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Оценка, баллов</w:t>
            </w:r>
          </w:p>
        </w:tc>
        <w:tc>
          <w:tcPr>
            <w:tcW w:w="3567" w:type="pct"/>
            <w:tcBorders>
              <w:top w:val="single" w:sz="4" w:space="0" w:color="auto"/>
              <w:left w:val="single" w:sz="4" w:space="0" w:color="auto"/>
              <w:right w:val="single" w:sz="4" w:space="0" w:color="auto"/>
            </w:tcBorders>
            <w:vAlign w:val="center"/>
          </w:tcPr>
          <w:p w:rsidR="006661D9" w:rsidRPr="006661D9" w:rsidRDefault="006661D9" w:rsidP="00F9282C">
            <w:pPr>
              <w:jc w:val="center"/>
              <w:rPr>
                <w:sz w:val="20"/>
              </w:rPr>
            </w:pPr>
            <w:r w:rsidRPr="006661D9">
              <w:rPr>
                <w:sz w:val="20"/>
              </w:rPr>
              <w:t>Результаты оценки показателей финансовой устойчивости участника</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Ни один из показателей (СЧА и КСВ) не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Только один показатель (СЧА или КСВ) соответствует требованиям Методики оценки</w:t>
            </w:r>
          </w:p>
        </w:tc>
      </w:tr>
      <w:tr w:rsidR="006661D9" w:rsidRPr="006661D9" w:rsidTr="00F9282C">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sz w:val="20"/>
              </w:rPr>
            </w:pPr>
            <w:r w:rsidRPr="006661D9">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6661D9" w:rsidRPr="006661D9" w:rsidRDefault="006661D9" w:rsidP="00F9282C">
            <w:pPr>
              <w:jc w:val="center"/>
              <w:rPr>
                <w:bCs/>
                <w:color w:val="FF0000"/>
                <w:sz w:val="20"/>
              </w:rPr>
            </w:pPr>
            <w:r w:rsidRPr="006661D9">
              <w:rPr>
                <w:sz w:val="20"/>
                <w:szCs w:val="20"/>
              </w:rPr>
              <w:t>Все показатели (СЧА и КСВ) соответствуют требованиям Методики оценки</w:t>
            </w:r>
          </w:p>
        </w:tc>
      </w:tr>
    </w:tbl>
    <w:p w:rsidR="006661D9" w:rsidRPr="006661D9" w:rsidRDefault="006661D9" w:rsidP="006661D9">
      <w:pPr>
        <w:pStyle w:val="afffff6"/>
        <w:shd w:val="clear" w:color="auto" w:fill="FFFFFF"/>
        <w:autoSpaceDE w:val="0"/>
        <w:autoSpaceDN w:val="0"/>
        <w:spacing w:after="120"/>
        <w:ind w:left="567" w:right="159"/>
        <w:contextualSpacing/>
        <w:jc w:val="both"/>
        <w:rPr>
          <w:rFonts w:eastAsia="Calibri"/>
          <w:lang w:eastAsia="en-US"/>
        </w:rPr>
      </w:pPr>
    </w:p>
    <w:p w:rsidR="006661D9" w:rsidRPr="006661D9" w:rsidRDefault="006661D9" w:rsidP="006661D9">
      <w:pPr>
        <w:widowControl w:val="0"/>
        <w:tabs>
          <w:tab w:val="left" w:pos="1700"/>
        </w:tabs>
        <w:suppressAutoHyphens/>
        <w:spacing w:after="0"/>
        <w:ind w:right="34" w:firstLine="709"/>
        <w:rPr>
          <w:i/>
          <w:sz w:val="20"/>
          <w:szCs w:val="20"/>
        </w:rPr>
      </w:pPr>
      <w:r w:rsidRPr="006661D9">
        <w:rPr>
          <w:rFonts w:eastAsia="Calibri"/>
          <w:b/>
          <w:bCs/>
          <w:i/>
          <w:sz w:val="20"/>
          <w:szCs w:val="20"/>
          <w:vertAlign w:val="superscript"/>
          <w:lang w:eastAsia="ar-SA"/>
        </w:rPr>
        <w:t>1</w:t>
      </w:r>
      <w:r w:rsidRPr="006661D9">
        <w:rPr>
          <w:rFonts w:eastAsia="Calibri"/>
          <w:b/>
          <w:bCs/>
          <w:i/>
          <w:sz w:val="20"/>
          <w:szCs w:val="20"/>
          <w:lang w:eastAsia="ar-SA"/>
        </w:rPr>
        <w:t>Методика оценки финансовой устойчивости участников закупки</w:t>
      </w:r>
      <w:r w:rsidRPr="006661D9">
        <w:rPr>
          <w:rFonts w:eastAsia="Calibri"/>
          <w:bCs/>
          <w:i/>
          <w:sz w:val="20"/>
          <w:szCs w:val="20"/>
          <w:lang w:eastAsia="ar-SA"/>
        </w:rPr>
        <w:t>:</w:t>
      </w:r>
    </w:p>
    <w:p w:rsidR="006661D9" w:rsidRPr="006661D9" w:rsidRDefault="006661D9" w:rsidP="006661D9">
      <w:pPr>
        <w:spacing w:after="0"/>
        <w:ind w:firstLine="720"/>
        <w:rPr>
          <w:sz w:val="20"/>
          <w:szCs w:val="20"/>
        </w:rPr>
      </w:pPr>
      <w:r w:rsidRPr="006661D9">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661D9" w:rsidRPr="006661D9" w:rsidRDefault="006661D9" w:rsidP="006661D9">
      <w:pPr>
        <w:spacing w:after="0"/>
        <w:ind w:left="720"/>
        <w:rPr>
          <w:b/>
          <w:i/>
          <w:sz w:val="20"/>
          <w:szCs w:val="20"/>
          <w:u w:val="single"/>
        </w:rPr>
      </w:pPr>
      <w:r w:rsidRPr="006661D9">
        <w:rPr>
          <w:b/>
          <w:i/>
          <w:sz w:val="20"/>
          <w:szCs w:val="20"/>
          <w:u w:val="single"/>
        </w:rPr>
        <w:t xml:space="preserve">По форме Бухгалтерский баланс </w:t>
      </w:r>
    </w:p>
    <w:p w:rsidR="006661D9" w:rsidRPr="006661D9" w:rsidRDefault="006661D9" w:rsidP="006661D9">
      <w:pPr>
        <w:spacing w:after="0"/>
        <w:ind w:firstLine="720"/>
        <w:rPr>
          <w:b/>
          <w:sz w:val="20"/>
          <w:szCs w:val="20"/>
        </w:rPr>
      </w:pPr>
      <w:r w:rsidRPr="006661D9">
        <w:rPr>
          <w:b/>
          <w:sz w:val="20"/>
          <w:szCs w:val="20"/>
        </w:rPr>
        <w:t xml:space="preserve">Стр. 1600 </w:t>
      </w:r>
      <w:r w:rsidRPr="006661D9">
        <w:rPr>
          <w:sz w:val="20"/>
          <w:szCs w:val="20"/>
        </w:rPr>
        <w:t>– итоговое значение по «Активу» баланса, указывается на начало и окончание отчетного периода.</w:t>
      </w:r>
    </w:p>
    <w:p w:rsidR="006661D9" w:rsidRPr="006661D9" w:rsidRDefault="006661D9" w:rsidP="006661D9">
      <w:pPr>
        <w:spacing w:after="0"/>
        <w:ind w:firstLine="720"/>
        <w:rPr>
          <w:b/>
          <w:sz w:val="20"/>
          <w:szCs w:val="20"/>
        </w:rPr>
      </w:pPr>
      <w:r w:rsidRPr="006661D9">
        <w:rPr>
          <w:b/>
          <w:sz w:val="20"/>
          <w:szCs w:val="20"/>
        </w:rPr>
        <w:t>Стр. 1400</w:t>
      </w:r>
      <w:r w:rsidRPr="006661D9">
        <w:rPr>
          <w:sz w:val="20"/>
          <w:szCs w:val="20"/>
        </w:rPr>
        <w:t xml:space="preserve"> – итоговое значение по разделу I</w:t>
      </w:r>
      <w:r w:rsidRPr="006661D9">
        <w:rPr>
          <w:sz w:val="20"/>
          <w:szCs w:val="20"/>
          <w:lang w:val="en-US"/>
        </w:rPr>
        <w:t>V</w:t>
      </w:r>
      <w:r w:rsidRPr="006661D9">
        <w:rPr>
          <w:sz w:val="20"/>
          <w:szCs w:val="20"/>
        </w:rPr>
        <w:t xml:space="preserve"> «Долгосрочные обязательства» бухгалтерского баланса, указывается на начало и окончание отчетного периода.</w:t>
      </w:r>
    </w:p>
    <w:p w:rsidR="006661D9" w:rsidRPr="006661D9" w:rsidRDefault="006661D9" w:rsidP="006661D9">
      <w:pPr>
        <w:tabs>
          <w:tab w:val="left" w:pos="540"/>
          <w:tab w:val="left" w:pos="720"/>
          <w:tab w:val="left" w:pos="1080"/>
        </w:tabs>
        <w:spacing w:after="0"/>
        <w:ind w:firstLine="720"/>
        <w:rPr>
          <w:sz w:val="20"/>
          <w:szCs w:val="20"/>
        </w:rPr>
      </w:pPr>
      <w:r w:rsidRPr="006661D9">
        <w:rPr>
          <w:b/>
          <w:sz w:val="20"/>
          <w:szCs w:val="20"/>
        </w:rPr>
        <w:t>Стр. 1500</w:t>
      </w:r>
      <w:r w:rsidRPr="006661D9">
        <w:rPr>
          <w:sz w:val="20"/>
          <w:szCs w:val="20"/>
        </w:rPr>
        <w:t xml:space="preserve"> – итоговое значение по разделу </w:t>
      </w:r>
      <w:r w:rsidRPr="006661D9">
        <w:rPr>
          <w:sz w:val="20"/>
          <w:szCs w:val="20"/>
          <w:lang w:val="en-US"/>
        </w:rPr>
        <w:t>V</w:t>
      </w:r>
      <w:r w:rsidRPr="006661D9">
        <w:rPr>
          <w:sz w:val="20"/>
          <w:szCs w:val="20"/>
        </w:rPr>
        <w:t xml:space="preserve"> «Краткосрочные обязательства» бухгалтерского баланса, указывается на начало и окончание отчетного периода.</w:t>
      </w:r>
    </w:p>
    <w:p w:rsidR="006661D9" w:rsidRPr="006661D9" w:rsidRDefault="006661D9" w:rsidP="006661D9">
      <w:pPr>
        <w:spacing w:after="0"/>
        <w:ind w:firstLine="720"/>
        <w:rPr>
          <w:b/>
          <w:i/>
          <w:sz w:val="20"/>
          <w:szCs w:val="20"/>
          <w:u w:val="single"/>
        </w:rPr>
      </w:pPr>
    </w:p>
    <w:p w:rsidR="006661D9" w:rsidRPr="006661D9" w:rsidRDefault="006661D9" w:rsidP="006661D9">
      <w:pPr>
        <w:spacing w:after="0"/>
        <w:ind w:firstLine="720"/>
        <w:rPr>
          <w:b/>
          <w:i/>
          <w:sz w:val="20"/>
          <w:szCs w:val="20"/>
          <w:u w:val="single"/>
        </w:rPr>
      </w:pPr>
      <w:r w:rsidRPr="006661D9">
        <w:rPr>
          <w:b/>
          <w:i/>
          <w:sz w:val="20"/>
          <w:szCs w:val="20"/>
          <w:u w:val="single"/>
        </w:rPr>
        <w:t>По форме Отчет о финансовых результатах</w:t>
      </w:r>
    </w:p>
    <w:p w:rsidR="006661D9" w:rsidRPr="006661D9" w:rsidRDefault="006661D9" w:rsidP="006661D9">
      <w:pPr>
        <w:spacing w:after="0"/>
        <w:ind w:firstLine="720"/>
        <w:rPr>
          <w:sz w:val="20"/>
          <w:szCs w:val="20"/>
        </w:rPr>
      </w:pPr>
      <w:r w:rsidRPr="006661D9">
        <w:rPr>
          <w:b/>
          <w:sz w:val="20"/>
          <w:szCs w:val="20"/>
        </w:rPr>
        <w:t xml:space="preserve">Стр. 2110 – </w:t>
      </w:r>
      <w:r w:rsidRPr="006661D9">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661D9" w:rsidRPr="006661D9" w:rsidRDefault="006661D9" w:rsidP="006661D9">
      <w:pPr>
        <w:spacing w:after="0"/>
        <w:ind w:firstLine="720"/>
        <w:jc w:val="center"/>
        <w:rPr>
          <w:rFonts w:eastAsia="Arial Unicode MS"/>
          <w:b/>
          <w:sz w:val="20"/>
          <w:szCs w:val="20"/>
        </w:rPr>
      </w:pPr>
      <w:r w:rsidRPr="006661D9">
        <w:rPr>
          <w:rFonts w:eastAsia="Arial Unicode MS"/>
          <w:b/>
          <w:sz w:val="20"/>
          <w:szCs w:val="20"/>
        </w:rPr>
        <w:t>Методика оценки</w:t>
      </w:r>
    </w:p>
    <w:p w:rsidR="006661D9" w:rsidRPr="006661D9" w:rsidRDefault="006661D9" w:rsidP="006661D9">
      <w:pPr>
        <w:spacing w:after="0"/>
        <w:ind w:firstLine="720"/>
        <w:rPr>
          <w:rFonts w:eastAsia="Arial Unicode MS"/>
          <w:sz w:val="20"/>
          <w:szCs w:val="20"/>
        </w:rPr>
      </w:pPr>
      <w:r w:rsidRPr="006661D9">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661D9" w:rsidRPr="006661D9" w:rsidRDefault="006661D9" w:rsidP="006661D9">
      <w:pPr>
        <w:spacing w:after="0"/>
        <w:ind w:firstLine="720"/>
        <w:jc w:val="left"/>
        <w:rPr>
          <w:rFonts w:eastAsia="Arial Unicode MS"/>
          <w:b/>
          <w:sz w:val="20"/>
          <w:szCs w:val="20"/>
          <w:u w:val="single"/>
        </w:rPr>
      </w:pPr>
    </w:p>
    <w:p w:rsidR="006661D9" w:rsidRPr="006661D9" w:rsidRDefault="006661D9" w:rsidP="006661D9">
      <w:pPr>
        <w:numPr>
          <w:ilvl w:val="1"/>
          <w:numId w:val="61"/>
        </w:numPr>
        <w:tabs>
          <w:tab w:val="clear" w:pos="576"/>
          <w:tab w:val="left" w:pos="1080"/>
        </w:tabs>
        <w:spacing w:after="0"/>
        <w:ind w:left="0" w:firstLine="709"/>
        <w:rPr>
          <w:rFonts w:eastAsia="Arial Unicode MS"/>
          <w:sz w:val="20"/>
          <w:szCs w:val="20"/>
        </w:rPr>
      </w:pPr>
      <w:r w:rsidRPr="006661D9">
        <w:rPr>
          <w:rFonts w:eastAsia="Arial Unicode MS"/>
          <w:b/>
          <w:sz w:val="20"/>
          <w:szCs w:val="20"/>
        </w:rPr>
        <w:t>Стоимость чистых активов (СЧА)</w:t>
      </w:r>
      <w:r w:rsidRPr="006661D9">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661D9" w:rsidRPr="006661D9" w:rsidRDefault="006661D9" w:rsidP="006661D9">
      <w:pPr>
        <w:tabs>
          <w:tab w:val="num" w:pos="576"/>
          <w:tab w:val="left" w:pos="1080"/>
        </w:tabs>
        <w:spacing w:after="0"/>
        <w:ind w:firstLine="720"/>
        <w:rPr>
          <w:sz w:val="20"/>
          <w:szCs w:val="20"/>
        </w:rPr>
      </w:pPr>
      <w:r w:rsidRPr="006661D9">
        <w:rPr>
          <w:sz w:val="20"/>
          <w:szCs w:val="20"/>
        </w:rPr>
        <w:t xml:space="preserve">СЧА= стр.1600-стр.1400-стр.1500, </w:t>
      </w:r>
    </w:p>
    <w:p w:rsidR="006661D9" w:rsidRPr="006661D9" w:rsidRDefault="006661D9" w:rsidP="006661D9">
      <w:pPr>
        <w:tabs>
          <w:tab w:val="num" w:pos="576"/>
          <w:tab w:val="left" w:pos="1080"/>
        </w:tabs>
        <w:spacing w:after="0"/>
        <w:ind w:firstLine="720"/>
        <w:rPr>
          <w:sz w:val="20"/>
          <w:szCs w:val="20"/>
        </w:rPr>
      </w:pPr>
      <w:r w:rsidRPr="006661D9">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661D9" w:rsidRPr="006661D9" w:rsidRDefault="006661D9" w:rsidP="006661D9">
      <w:pPr>
        <w:tabs>
          <w:tab w:val="num" w:pos="576"/>
          <w:tab w:val="left" w:pos="1080"/>
        </w:tabs>
        <w:spacing w:after="0"/>
        <w:ind w:firstLine="720"/>
        <w:rPr>
          <w:sz w:val="20"/>
          <w:szCs w:val="20"/>
        </w:rPr>
      </w:pPr>
      <w:r w:rsidRPr="006661D9">
        <w:rPr>
          <w:sz w:val="20"/>
          <w:szCs w:val="20"/>
        </w:rPr>
        <w:t>Показатель СЧА должен иметь значение &gt;0.</w:t>
      </w:r>
    </w:p>
    <w:p w:rsidR="006661D9" w:rsidRPr="006661D9" w:rsidRDefault="006661D9" w:rsidP="006661D9">
      <w:pPr>
        <w:numPr>
          <w:ilvl w:val="1"/>
          <w:numId w:val="31"/>
        </w:numPr>
        <w:tabs>
          <w:tab w:val="clear" w:pos="576"/>
          <w:tab w:val="num" w:pos="360"/>
          <w:tab w:val="left" w:pos="1080"/>
        </w:tabs>
        <w:spacing w:after="0"/>
        <w:ind w:left="0" w:firstLine="720"/>
        <w:rPr>
          <w:rFonts w:eastAsia="Arial Unicode MS"/>
          <w:sz w:val="20"/>
          <w:szCs w:val="20"/>
        </w:rPr>
      </w:pPr>
      <w:r w:rsidRPr="006661D9">
        <w:rPr>
          <w:rFonts w:eastAsia="Arial Unicode MS"/>
          <w:b/>
          <w:sz w:val="20"/>
          <w:szCs w:val="20"/>
        </w:rPr>
        <w:t>Коэффициент</w:t>
      </w:r>
      <w:r w:rsidRPr="006661D9">
        <w:rPr>
          <w:b/>
          <w:sz w:val="20"/>
          <w:szCs w:val="20"/>
        </w:rPr>
        <w:t xml:space="preserve"> соизмеримости (КСВ), </w:t>
      </w:r>
      <w:r w:rsidRPr="006661D9">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6661D9">
        <w:rPr>
          <w:rFonts w:eastAsia="Arial Unicode MS"/>
          <w:sz w:val="20"/>
          <w:szCs w:val="20"/>
        </w:rPr>
        <w:t>на основании данных отчета о финансовых результатах по следующей формуле:</w:t>
      </w:r>
    </w:p>
    <w:p w:rsidR="006661D9" w:rsidRPr="006661D9" w:rsidRDefault="006661D9" w:rsidP="006661D9">
      <w:pPr>
        <w:tabs>
          <w:tab w:val="left" w:pos="1080"/>
        </w:tabs>
        <w:spacing w:after="0"/>
        <w:ind w:firstLine="720"/>
        <w:jc w:val="right"/>
        <w:rPr>
          <w:sz w:val="20"/>
          <w:szCs w:val="20"/>
        </w:rPr>
      </w:pPr>
    </w:p>
    <w:p w:rsidR="006661D9" w:rsidRPr="006661D9" w:rsidRDefault="006661D9" w:rsidP="006661D9">
      <w:pPr>
        <w:tabs>
          <w:tab w:val="left" w:pos="1080"/>
        </w:tabs>
        <w:spacing w:after="0"/>
        <w:ind w:firstLine="720"/>
        <w:rPr>
          <w:sz w:val="20"/>
          <w:szCs w:val="20"/>
        </w:rPr>
      </w:pPr>
      <w:r w:rsidRPr="006661D9">
        <w:rPr>
          <w:sz w:val="20"/>
          <w:szCs w:val="20"/>
        </w:rPr>
        <w:t xml:space="preserve">                                                            КСВ=</w:t>
      </w:r>
      <w:r w:rsidRPr="006661D9">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38705051" r:id="rId12"/>
        </w:object>
      </w:r>
      <w:r w:rsidRPr="006661D9">
        <w:rPr>
          <w:sz w:val="20"/>
          <w:szCs w:val="20"/>
        </w:rPr>
        <w:t xml:space="preserve">: </w:t>
      </w:r>
      <w:r w:rsidRPr="006661D9">
        <w:rPr>
          <w:position w:val="-24"/>
          <w:sz w:val="20"/>
          <w:szCs w:val="20"/>
        </w:rPr>
        <w:object w:dxaOrig="279" w:dyaOrig="620">
          <v:shape id="_x0000_i1026" type="#_x0000_t75" style="width:14.4pt;height:28.2pt" o:ole="">
            <v:imagedata r:id="rId13" o:title=""/>
          </v:shape>
          <o:OLEObject Type="Embed" ProgID="Equation.3" ShapeID="_x0000_i1026" DrawAspect="Content" ObjectID="_1638705052" r:id="rId14"/>
        </w:object>
      </w:r>
      <w:r w:rsidRPr="006661D9">
        <w:rPr>
          <w:sz w:val="20"/>
          <w:szCs w:val="20"/>
        </w:rPr>
        <w:t>,</w:t>
      </w:r>
    </w:p>
    <w:p w:rsidR="006661D9" w:rsidRPr="006661D9" w:rsidRDefault="006661D9" w:rsidP="006661D9">
      <w:pPr>
        <w:tabs>
          <w:tab w:val="left" w:pos="1080"/>
        </w:tabs>
        <w:spacing w:after="0"/>
        <w:ind w:firstLine="720"/>
        <w:rPr>
          <w:sz w:val="20"/>
          <w:szCs w:val="20"/>
        </w:rPr>
      </w:pPr>
      <w:r w:rsidRPr="006661D9">
        <w:rPr>
          <w:sz w:val="20"/>
          <w:szCs w:val="20"/>
        </w:rPr>
        <w:t>где V – сумма показателей выручки за последний завершенный период (год);</w:t>
      </w:r>
    </w:p>
    <w:p w:rsidR="006661D9" w:rsidRPr="006661D9" w:rsidRDefault="006661D9" w:rsidP="006661D9">
      <w:pPr>
        <w:autoSpaceDE w:val="0"/>
        <w:autoSpaceDN w:val="0"/>
        <w:spacing w:after="0"/>
        <w:ind w:firstLine="720"/>
        <w:rPr>
          <w:rFonts w:eastAsia="Calibri"/>
          <w:sz w:val="20"/>
          <w:szCs w:val="20"/>
        </w:rPr>
      </w:pPr>
      <w:r w:rsidRPr="006661D9">
        <w:rPr>
          <w:sz w:val="20"/>
          <w:szCs w:val="20"/>
        </w:rPr>
        <w:t>Р – п</w:t>
      </w:r>
      <w:r w:rsidRPr="006661D9">
        <w:rPr>
          <w:rFonts w:eastAsia="Calibri"/>
          <w:sz w:val="20"/>
          <w:szCs w:val="20"/>
        </w:rPr>
        <w:t>ериод выполнения обязательств по договору (в месяцах);</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В – количество месяцев в периоде, в котором сформирован показатель V;</w:t>
      </w:r>
    </w:p>
    <w:p w:rsidR="006661D9" w:rsidRPr="006661D9" w:rsidRDefault="006661D9" w:rsidP="006661D9">
      <w:pPr>
        <w:autoSpaceDE w:val="0"/>
        <w:autoSpaceDN w:val="0"/>
        <w:spacing w:after="0"/>
        <w:ind w:firstLine="720"/>
        <w:rPr>
          <w:rFonts w:eastAsia="Calibri"/>
          <w:sz w:val="20"/>
          <w:szCs w:val="20"/>
        </w:rPr>
      </w:pPr>
      <w:r w:rsidRPr="006661D9">
        <w:rPr>
          <w:rFonts w:eastAsia="Calibri"/>
          <w:sz w:val="20"/>
          <w:szCs w:val="20"/>
        </w:rPr>
        <w:t xml:space="preserve">S – </w:t>
      </w:r>
      <w:r w:rsidRPr="006661D9">
        <w:rPr>
          <w:sz w:val="20"/>
          <w:szCs w:val="20"/>
        </w:rPr>
        <w:t>начальная (максимальная) цена договора (цена лота)</w:t>
      </w:r>
      <w:r w:rsidRPr="006661D9">
        <w:rPr>
          <w:rFonts w:eastAsia="Calibri"/>
          <w:sz w:val="20"/>
          <w:szCs w:val="20"/>
        </w:rPr>
        <w:t>.</w:t>
      </w:r>
    </w:p>
    <w:p w:rsidR="006661D9" w:rsidRPr="009B2E10" w:rsidRDefault="006661D9" w:rsidP="006661D9">
      <w:pPr>
        <w:tabs>
          <w:tab w:val="left" w:pos="1080"/>
        </w:tabs>
        <w:spacing w:after="0"/>
        <w:ind w:firstLine="720"/>
        <w:rPr>
          <w:sz w:val="20"/>
          <w:szCs w:val="20"/>
        </w:rPr>
      </w:pPr>
      <w:r w:rsidRPr="006661D9">
        <w:rPr>
          <w:sz w:val="20"/>
          <w:szCs w:val="20"/>
        </w:rPr>
        <w:t xml:space="preserve">Показатель КСВ должен иметь значение </w:t>
      </w:r>
      <w:r w:rsidRPr="006661D9">
        <w:rPr>
          <w:position w:val="-6"/>
          <w:sz w:val="20"/>
          <w:szCs w:val="20"/>
        </w:rPr>
        <w:object w:dxaOrig="540" w:dyaOrig="279">
          <v:shape id="_x0000_i1027" type="#_x0000_t75" style="width:27pt;height:14.4pt" o:ole="">
            <v:imagedata r:id="rId15" o:title=""/>
          </v:shape>
          <o:OLEObject Type="Embed" ProgID="Equation.3" ShapeID="_x0000_i1027" DrawAspect="Content" ObjectID="_1638705053" r:id="rId16"/>
        </w:object>
      </w:r>
      <w:r w:rsidRPr="006661D9">
        <w:rPr>
          <w:sz w:val="20"/>
          <w:szCs w:val="20"/>
        </w:rPr>
        <w:t>.</w:t>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Приложение №</w:t>
      </w:r>
      <w:r w:rsidR="006661D9">
        <w:rPr>
          <w:rFonts w:ascii="Times New Roman" w:hAnsi="Times New Roman" w:cs="Times New Roman"/>
        </w:rPr>
        <w:t xml:space="preserve"> 2</w:t>
      </w:r>
      <w:r w:rsidRPr="00EA0365">
        <w:rPr>
          <w:rFonts w:ascii="Times New Roman" w:hAnsi="Times New Roman" w:cs="Times New Roman"/>
        </w:rPr>
        <w:t xml:space="preserve">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7842F8" w:rsidRDefault="00C134DD" w:rsidP="007842F8">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B77D6D"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B77D6D" w:rsidRPr="005A3EF2" w:rsidRDefault="00B77D6D" w:rsidP="0022254C">
            <w:pPr>
              <w:widowControl w:val="0"/>
              <w:numPr>
                <w:ilvl w:val="0"/>
                <w:numId w:val="29"/>
              </w:numPr>
              <w:suppressAutoHyphens/>
              <w:spacing w:after="200"/>
              <w:ind w:left="113" w:right="34" w:firstLine="0"/>
              <w:jc w:val="left"/>
              <w:rPr>
                <w:sz w:val="20"/>
                <w:szCs w:val="20"/>
              </w:rPr>
            </w:pPr>
          </w:p>
        </w:tc>
        <w:tc>
          <w:tcPr>
            <w:tcW w:w="1927" w:type="pct"/>
          </w:tcPr>
          <w:p w:rsidR="00B77D6D" w:rsidRPr="00B07E73" w:rsidRDefault="00B77D6D" w:rsidP="00B77D6D">
            <w:pPr>
              <w:widowControl w:val="0"/>
              <w:ind w:right="34"/>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00A36FCC">
              <w:rPr>
                <w:sz w:val="20"/>
                <w:szCs w:val="20"/>
              </w:rPr>
              <w:t>¹</w:t>
            </w:r>
          </w:p>
        </w:tc>
        <w:tc>
          <w:tcPr>
            <w:tcW w:w="2809" w:type="pct"/>
          </w:tcPr>
          <w:p w:rsidR="00B77D6D" w:rsidRPr="002A19B2" w:rsidRDefault="00B77D6D" w:rsidP="00B77D6D">
            <w:pPr>
              <w:widowControl w:val="0"/>
              <w:ind w:right="34"/>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5A4CE8"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4CE8" w:rsidRPr="005A3EF2" w:rsidRDefault="005A4CE8" w:rsidP="0022254C">
            <w:pPr>
              <w:widowControl w:val="0"/>
              <w:numPr>
                <w:ilvl w:val="0"/>
                <w:numId w:val="29"/>
              </w:numPr>
              <w:suppressAutoHyphens/>
              <w:spacing w:after="200"/>
              <w:ind w:left="113" w:right="34" w:firstLine="0"/>
              <w:jc w:val="left"/>
              <w:rPr>
                <w:sz w:val="20"/>
                <w:szCs w:val="20"/>
              </w:rPr>
            </w:pPr>
          </w:p>
        </w:tc>
        <w:tc>
          <w:tcPr>
            <w:tcW w:w="1927" w:type="pct"/>
          </w:tcPr>
          <w:p w:rsidR="005A4CE8" w:rsidRPr="005A4CE8" w:rsidRDefault="005A4CE8" w:rsidP="00245D92">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bookmarkStart w:id="173" w:name="_GoBack"/>
            <w:bookmarkEnd w:id="173"/>
          </w:p>
        </w:tc>
        <w:tc>
          <w:tcPr>
            <w:tcW w:w="2809" w:type="pct"/>
          </w:tcPr>
          <w:p w:rsidR="005A4CE8" w:rsidRPr="00C14456" w:rsidRDefault="005A4CE8" w:rsidP="00245D9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22717A"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22717A" w:rsidRPr="0022717A" w:rsidRDefault="0022717A" w:rsidP="00F9282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22717A" w:rsidRPr="0022717A" w:rsidRDefault="0022717A" w:rsidP="00F9282C">
            <w:pPr>
              <w:widowControl w:val="0"/>
              <w:spacing w:after="0"/>
              <w:ind w:right="34"/>
              <w:jc w:val="left"/>
              <w:rPr>
                <w:rFonts w:eastAsia="Calibri"/>
                <w:sz w:val="20"/>
                <w:szCs w:val="20"/>
              </w:rPr>
            </w:pPr>
            <w:r w:rsidRPr="0022717A">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22717A" w:rsidRPr="0022717A" w:rsidRDefault="0022717A" w:rsidP="0022717A">
            <w:pPr>
              <w:autoSpaceDN w:val="0"/>
              <w:spacing w:after="0"/>
              <w:ind w:right="34" w:firstLine="34"/>
              <w:jc w:val="left"/>
              <w:rPr>
                <w:rFonts w:eastAsia="Calibri"/>
                <w:bCs/>
                <w:sz w:val="20"/>
                <w:szCs w:val="20"/>
              </w:rPr>
            </w:pPr>
            <w:r w:rsidRPr="0022717A">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tc>
        <w:tc>
          <w:tcPr>
            <w:tcW w:w="2809" w:type="pct"/>
          </w:tcPr>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обычной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b/>
                <w:color w:val="000000" w:themeColor="text1"/>
                <w:sz w:val="20"/>
                <w:szCs w:val="20"/>
              </w:rPr>
            </w:pPr>
            <w:r w:rsidRPr="0022717A">
              <w:rPr>
                <w:rFonts w:eastAsia="Arial Unicode MS"/>
                <w:b/>
                <w:color w:val="000000" w:themeColor="text1"/>
                <w:sz w:val="20"/>
                <w:szCs w:val="20"/>
              </w:rPr>
              <w:t>Для упрощенной системы налогообложения:</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2717A" w:rsidRPr="0022717A" w:rsidRDefault="0022717A" w:rsidP="00F9282C">
            <w:pPr>
              <w:widowControl w:val="0"/>
              <w:spacing w:after="0"/>
              <w:ind w:right="34"/>
              <w:jc w:val="left"/>
              <w:rPr>
                <w:rFonts w:eastAsia="Arial Unicode MS"/>
                <w:color w:val="000000" w:themeColor="text1"/>
                <w:sz w:val="20"/>
                <w:szCs w:val="20"/>
              </w:rPr>
            </w:pPr>
            <w:r w:rsidRPr="0022717A">
              <w:rPr>
                <w:rFonts w:eastAsia="Arial Unicode MS"/>
                <w:color w:val="000000" w:themeColor="text1"/>
                <w:sz w:val="20"/>
                <w:szCs w:val="20"/>
              </w:rPr>
              <w:t>- заявление о переходе на упрощенную систему налогообложения;</w:t>
            </w:r>
          </w:p>
          <w:p w:rsidR="0022717A" w:rsidRPr="0022717A" w:rsidRDefault="0022717A" w:rsidP="00F9282C">
            <w:pPr>
              <w:widowControl w:val="0"/>
              <w:spacing w:after="0"/>
              <w:ind w:right="34"/>
              <w:jc w:val="left"/>
              <w:rPr>
                <w:b/>
                <w:color w:val="000000" w:themeColor="text1"/>
                <w:sz w:val="20"/>
                <w:szCs w:val="20"/>
              </w:rPr>
            </w:pPr>
            <w:r w:rsidRPr="0022717A">
              <w:rPr>
                <w:rFonts w:eastAsia="Arial Unicode MS"/>
                <w:color w:val="000000" w:themeColor="text1"/>
                <w:sz w:val="20"/>
                <w:szCs w:val="20"/>
              </w:rPr>
              <w:t xml:space="preserve">- заполненную форму </w:t>
            </w:r>
            <w:r w:rsidRPr="0022717A">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A36FCC"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A36FCC" w:rsidRDefault="00A36FCC">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C90491" w:rsidRPr="00C70643" w:rsidRDefault="00C90491" w:rsidP="00EA0365">
      <w:pPr>
        <w:spacing w:after="0"/>
        <w:jc w:val="left"/>
      </w:pPr>
    </w:p>
    <w:p w:rsidR="007633E7" w:rsidRDefault="007633E7"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779014"/>
      <w:bookmarkEnd w:id="174"/>
      <w:r w:rsidRPr="00C70643">
        <w:rPr>
          <w:rStyle w:val="15"/>
          <w:b/>
          <w:bCs/>
          <w:sz w:val="24"/>
          <w:szCs w:val="24"/>
        </w:rPr>
        <w:t>ОБРАЗЦЫ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B2A89" w:rsidRPr="007B2A89" w:rsidRDefault="007B2A89" w:rsidP="007B2A89"/>
    <w:p w:rsidR="007633E7" w:rsidRPr="00EF6612" w:rsidRDefault="007B2A89" w:rsidP="00EF6612">
      <w:pPr>
        <w:pStyle w:val="21"/>
        <w:rPr>
          <w:sz w:val="24"/>
          <w:szCs w:val="24"/>
        </w:rPr>
      </w:pPr>
      <w:bookmarkStart w:id="185" w:name="_Toc127334282"/>
      <w:bookmarkStart w:id="186" w:name="_Ref166329160"/>
      <w:bookmarkStart w:id="187" w:name="_Ref166329169"/>
      <w:bookmarkStart w:id="188" w:name="_Ref166487238"/>
      <w:bookmarkStart w:id="189" w:name="_Ref166487244"/>
      <w:bookmarkStart w:id="190" w:name="_Ref166487316"/>
      <w:bookmarkStart w:id="191" w:name="_Toc5779015"/>
      <w:r w:rsidRPr="00EF6612">
        <w:rPr>
          <w:sz w:val="24"/>
          <w:szCs w:val="24"/>
        </w:rPr>
        <w:t xml:space="preserve">ФОРМА 1. </w:t>
      </w:r>
      <w:r w:rsidR="007633E7" w:rsidRPr="00EF6612">
        <w:rPr>
          <w:sz w:val="24"/>
          <w:szCs w:val="24"/>
        </w:rPr>
        <w:t>ОПИСЬ ДОКУМЕНТОВ</w:t>
      </w:r>
      <w:bookmarkEnd w:id="185"/>
      <w:bookmarkEnd w:id="186"/>
      <w:bookmarkEnd w:id="187"/>
      <w:bookmarkEnd w:id="188"/>
      <w:bookmarkEnd w:id="189"/>
      <w:bookmarkEnd w:id="190"/>
      <w:bookmarkEnd w:id="191"/>
    </w:p>
    <w:p w:rsidR="00E37530" w:rsidRDefault="00E37530" w:rsidP="00E37530">
      <w:pPr>
        <w:jc w:val="center"/>
      </w:pPr>
      <w:bookmarkStart w:id="192"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2"/>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3" w:name="_Ref166329536"/>
      <w:bookmarkStart w:id="194" w:name="_Toc536483695"/>
      <w:bookmarkStart w:id="195" w:name="_Toc5779016"/>
      <w:bookmarkStart w:id="196" w:name="_Toc121292706"/>
      <w:bookmarkStart w:id="197" w:name="_Toc127334286"/>
      <w:r w:rsidRPr="00EF6612">
        <w:rPr>
          <w:sz w:val="24"/>
          <w:szCs w:val="24"/>
        </w:rPr>
        <w:t xml:space="preserve">ФОРМА </w:t>
      </w:r>
      <w:r>
        <w:rPr>
          <w:sz w:val="24"/>
          <w:szCs w:val="24"/>
        </w:rPr>
        <w:t>2</w:t>
      </w:r>
      <w:r w:rsidRPr="00EF6612">
        <w:rPr>
          <w:sz w:val="24"/>
          <w:szCs w:val="24"/>
        </w:rPr>
        <w:t>. ПИСЬМО О ПОДАЧЕ ОФЕРТЫ</w:t>
      </w:r>
      <w:bookmarkEnd w:id="193"/>
      <w:bookmarkEnd w:id="194"/>
      <w:bookmarkEnd w:id="195"/>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198" w:name="_Toc536483690"/>
      <w:bookmarkStart w:id="199" w:name="_Toc5779017"/>
      <w:bookmarkStart w:id="200" w:name="_Toc536483696"/>
      <w:bookmarkStart w:id="201" w:name="_Ref166330580"/>
      <w:r>
        <w:rPr>
          <w:sz w:val="24"/>
          <w:szCs w:val="24"/>
        </w:rPr>
        <w:t xml:space="preserve">ФОРМА </w:t>
      </w:r>
      <w:r w:rsidR="00EC6E70">
        <w:rPr>
          <w:sz w:val="24"/>
          <w:szCs w:val="24"/>
        </w:rPr>
        <w:t>3</w:t>
      </w:r>
      <w:r>
        <w:rPr>
          <w:sz w:val="24"/>
          <w:szCs w:val="24"/>
        </w:rPr>
        <w:t>. ТЕХНИЧЕСКОЕ ПРЕДЛОЖЕНИЕ</w:t>
      </w:r>
      <w:bookmarkEnd w:id="198"/>
      <w:bookmarkEnd w:id="199"/>
    </w:p>
    <w:p w:rsidR="00ED153E" w:rsidRDefault="00ED153E" w:rsidP="00ED153E">
      <w:pPr>
        <w:jc w:val="center"/>
      </w:pPr>
      <w:bookmarkStart w:id="202" w:name="_Toc298234710"/>
      <w:bookmarkStart w:id="203" w:name="_Toc255987072"/>
      <w:bookmarkStart w:id="204" w:name="_Toc307936260"/>
      <w:bookmarkStart w:id="205"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6" w:name="_Toc536483691"/>
      <w:bookmarkStart w:id="207" w:name="_Toc536567159"/>
      <w:bookmarkStart w:id="208" w:name="_Toc5779018"/>
      <w:r w:rsidRPr="004D0F20">
        <w:rPr>
          <w:b/>
        </w:rPr>
        <w:t>Техническое предложение</w:t>
      </w:r>
      <w:bookmarkEnd w:id="202"/>
      <w:bookmarkEnd w:id="203"/>
      <w:bookmarkEnd w:id="204"/>
      <w:bookmarkEnd w:id="206"/>
      <w:bookmarkEnd w:id="207"/>
      <w:bookmarkEnd w:id="208"/>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09" w:name="_Toc247081498"/>
      <w:r w:rsidRPr="004D0F20">
        <w:rPr>
          <w:b/>
        </w:rPr>
        <w:t xml:space="preserve">Способ и наименование закупки _______________________________________ </w:t>
      </w:r>
    </w:p>
    <w:bookmarkEnd w:id="209"/>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0" w:name="_Toc247081499"/>
      <w:r w:rsidRPr="00EC6E70">
        <w:rPr>
          <w:b/>
          <w:i/>
        </w:rPr>
        <w:t>Суть технического предложения</w:t>
      </w:r>
      <w:bookmarkEnd w:id="210"/>
    </w:p>
    <w:p w:rsidR="00313CEA" w:rsidRPr="00EC6E70" w:rsidRDefault="00313CEA" w:rsidP="00313CEA">
      <w:pPr>
        <w:widowControl w:val="0"/>
        <w:tabs>
          <w:tab w:val="left" w:pos="1080"/>
        </w:tabs>
        <w:ind w:firstLine="540"/>
        <w:rPr>
          <w:b/>
          <w:sz w:val="20"/>
          <w:szCs w:val="20"/>
        </w:rPr>
      </w:pPr>
      <w:bookmarkStart w:id="211"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2" w:name="_Toc247081500"/>
      <w:r w:rsidRPr="00EC6E70">
        <w:rPr>
          <w:b/>
          <w:bCs/>
          <w:lang w:eastAsia="ar-SA"/>
        </w:rPr>
        <w:t>М.П.</w:t>
      </w:r>
      <w:bookmarkEnd w:id="212"/>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1"/>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3" w:name="_Toc5779021"/>
      <w:bookmarkEnd w:id="205"/>
      <w:r>
        <w:rPr>
          <w:sz w:val="24"/>
          <w:szCs w:val="24"/>
        </w:rPr>
        <w:t xml:space="preserve">ФОРМА </w:t>
      </w:r>
      <w:r w:rsidR="007E7B1D">
        <w:rPr>
          <w:sz w:val="24"/>
          <w:szCs w:val="24"/>
        </w:rPr>
        <w:t>4</w:t>
      </w:r>
      <w:r w:rsidRPr="00EF6612">
        <w:rPr>
          <w:sz w:val="24"/>
          <w:szCs w:val="24"/>
        </w:rPr>
        <w:t>. АНТИКОРРУПЦИОННЫЕ ОБЯЗАТЕЛЬСТВА</w:t>
      </w:r>
      <w:bookmarkEnd w:id="200"/>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4" w:name="_Toc536483697"/>
      <w:bookmarkStart w:id="215" w:name="_Toc5779022"/>
      <w:bookmarkEnd w:id="196"/>
      <w:bookmarkEnd w:id="197"/>
      <w:bookmarkEnd w:id="201"/>
      <w:r>
        <w:rPr>
          <w:sz w:val="24"/>
          <w:szCs w:val="24"/>
        </w:rPr>
        <w:t xml:space="preserve">ФОРМА </w:t>
      </w:r>
      <w:r w:rsidR="007E7B1D">
        <w:rPr>
          <w:sz w:val="24"/>
          <w:szCs w:val="24"/>
        </w:rPr>
        <w:t>5</w:t>
      </w:r>
      <w:r w:rsidRPr="00EF6612">
        <w:rPr>
          <w:sz w:val="24"/>
          <w:szCs w:val="24"/>
        </w:rPr>
        <w:t>. АНКЕТА УЧАСТНИКА ЗАКУПКИ</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6" w:name="Par54"/>
      <w:bookmarkEnd w:id="21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7E7B1D" w:rsidP="00313CEA">
      <w:pPr>
        <w:pStyle w:val="21"/>
        <w:pageBreakBefore/>
        <w:tabs>
          <w:tab w:val="clear" w:pos="576"/>
        </w:tabs>
        <w:spacing w:after="0"/>
        <w:ind w:left="0" w:firstLine="0"/>
        <w:rPr>
          <w:sz w:val="24"/>
          <w:szCs w:val="24"/>
        </w:rPr>
      </w:pPr>
      <w:bookmarkStart w:id="217" w:name="_Toc536483698"/>
      <w:bookmarkStart w:id="218"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7"/>
      <w:bookmarkEnd w:id="21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19" w:name="_Toc307936265"/>
      <w:bookmarkStart w:id="220" w:name="_Toc255987075"/>
      <w:bookmarkStart w:id="221" w:name="_Toc298234713"/>
      <w:bookmarkStart w:id="222" w:name="_Toc536483699"/>
      <w:bookmarkStart w:id="223" w:name="_Toc5779024"/>
      <w:r>
        <w:rPr>
          <w:sz w:val="24"/>
          <w:szCs w:val="24"/>
        </w:rPr>
        <w:t xml:space="preserve">ФОРМА </w:t>
      </w:r>
      <w:r w:rsidR="007E7B1D">
        <w:rPr>
          <w:sz w:val="24"/>
          <w:szCs w:val="24"/>
        </w:rPr>
        <w:t>7</w:t>
      </w:r>
      <w:r w:rsidRPr="00830083">
        <w:rPr>
          <w:caps/>
          <w:sz w:val="24"/>
          <w:szCs w:val="24"/>
        </w:rPr>
        <w:t xml:space="preserve">. </w:t>
      </w:r>
      <w:bookmarkEnd w:id="219"/>
      <w:bookmarkEnd w:id="220"/>
      <w:bookmarkEnd w:id="22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2"/>
      <w:bookmarkEnd w:id="22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24" w:name="_Toc536483702"/>
      <w:bookmarkStart w:id="225"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26" w:name="_Toc476225313"/>
            <w:bookmarkStart w:id="227" w:name="_Toc485198248"/>
            <w:bookmarkStart w:id="228" w:name="_Toc536483703"/>
            <w:bookmarkStart w:id="229" w:name="_Toc536567169"/>
            <w:bookmarkStart w:id="230" w:name="_Toc5779028"/>
            <w:bookmarkStart w:id="231" w:name="_Toc404866843"/>
            <w:r w:rsidRPr="00BB1F38">
              <w:rPr>
                <w:rFonts w:eastAsia="Calibri"/>
                <w:kern w:val="32"/>
                <w:sz w:val="20"/>
                <w:szCs w:val="22"/>
                <w:lang w:eastAsia="en-US"/>
              </w:rPr>
              <w:t>Данные о контрагенте</w:t>
            </w:r>
            <w:bookmarkEnd w:id="226"/>
            <w:bookmarkEnd w:id="227"/>
            <w:bookmarkEnd w:id="228"/>
            <w:bookmarkEnd w:id="229"/>
            <w:bookmarkEnd w:id="23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32" w:name="_Toc476225314"/>
            <w:bookmarkStart w:id="233" w:name="_Toc485198249"/>
            <w:bookmarkStart w:id="234" w:name="_Toc536483704"/>
            <w:bookmarkStart w:id="235" w:name="_Toc536567170"/>
            <w:bookmarkStart w:id="236" w:name="_Toc5779029"/>
            <w:r w:rsidRPr="00BB1F38">
              <w:rPr>
                <w:rFonts w:eastAsia="Calibri"/>
                <w:kern w:val="32"/>
                <w:sz w:val="18"/>
                <w:szCs w:val="18"/>
                <w:lang w:eastAsia="en-US"/>
              </w:rPr>
              <w:t>№</w:t>
            </w:r>
            <w:bookmarkEnd w:id="232"/>
            <w:bookmarkEnd w:id="233"/>
            <w:bookmarkEnd w:id="234"/>
            <w:bookmarkEnd w:id="235"/>
            <w:bookmarkEnd w:id="23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5"/>
            <w:bookmarkStart w:id="238" w:name="_Toc485198250"/>
            <w:bookmarkStart w:id="239" w:name="_Toc536483705"/>
            <w:bookmarkStart w:id="240" w:name="_Toc536567171"/>
            <w:bookmarkStart w:id="241" w:name="_Toc5779030"/>
            <w:r w:rsidRPr="00BB1F38">
              <w:rPr>
                <w:rFonts w:eastAsia="Calibri"/>
                <w:kern w:val="32"/>
                <w:sz w:val="18"/>
                <w:szCs w:val="18"/>
                <w:lang w:eastAsia="en-US"/>
              </w:rPr>
              <w:t>Вид контрагента</w:t>
            </w:r>
            <w:bookmarkEnd w:id="237"/>
            <w:bookmarkEnd w:id="238"/>
            <w:bookmarkEnd w:id="239"/>
            <w:bookmarkEnd w:id="240"/>
            <w:bookmarkEnd w:id="24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6"/>
            <w:bookmarkStart w:id="243" w:name="_Toc485198251"/>
            <w:bookmarkStart w:id="244" w:name="_Toc536483706"/>
            <w:bookmarkStart w:id="245" w:name="_Toc536567172"/>
            <w:bookmarkStart w:id="246" w:name="_Toc5779031"/>
            <w:r w:rsidRPr="00BB1F38">
              <w:rPr>
                <w:rFonts w:eastAsia="Calibri"/>
                <w:kern w:val="32"/>
                <w:sz w:val="18"/>
                <w:szCs w:val="18"/>
                <w:lang w:eastAsia="en-US"/>
              </w:rPr>
              <w:t>Тип контрагента</w:t>
            </w:r>
            <w:bookmarkEnd w:id="242"/>
            <w:bookmarkEnd w:id="243"/>
            <w:bookmarkEnd w:id="244"/>
            <w:bookmarkEnd w:id="245"/>
            <w:bookmarkEnd w:id="24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7"/>
            <w:bookmarkStart w:id="248" w:name="_Toc485198252"/>
            <w:bookmarkStart w:id="249" w:name="_Toc536483707"/>
            <w:bookmarkStart w:id="250" w:name="_Toc536567173"/>
            <w:bookmarkStart w:id="251" w:name="_Toc5779032"/>
            <w:r w:rsidRPr="00BB1F38">
              <w:rPr>
                <w:rFonts w:eastAsia="Calibri"/>
                <w:kern w:val="32"/>
                <w:sz w:val="18"/>
                <w:szCs w:val="18"/>
                <w:lang w:eastAsia="en-US"/>
              </w:rPr>
              <w:t>Тип публичности</w:t>
            </w:r>
            <w:bookmarkEnd w:id="247"/>
            <w:bookmarkEnd w:id="248"/>
            <w:bookmarkEnd w:id="249"/>
            <w:bookmarkEnd w:id="250"/>
            <w:bookmarkEnd w:id="25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18"/>
            <w:bookmarkStart w:id="253" w:name="_Toc485198253"/>
            <w:bookmarkStart w:id="254" w:name="_Toc536483708"/>
            <w:bookmarkStart w:id="255" w:name="_Toc536567174"/>
            <w:bookmarkStart w:id="256" w:name="_Toc5779033"/>
            <w:r w:rsidRPr="00BB1F38">
              <w:rPr>
                <w:rFonts w:eastAsia="Calibri"/>
                <w:kern w:val="32"/>
                <w:sz w:val="18"/>
                <w:szCs w:val="18"/>
                <w:lang w:eastAsia="en-US"/>
              </w:rPr>
              <w:t>ИНН контрагента</w:t>
            </w:r>
            <w:bookmarkEnd w:id="252"/>
            <w:bookmarkEnd w:id="253"/>
            <w:bookmarkEnd w:id="254"/>
            <w:bookmarkEnd w:id="255"/>
            <w:bookmarkEnd w:id="25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19"/>
            <w:bookmarkStart w:id="258" w:name="_Toc485198254"/>
            <w:bookmarkStart w:id="259" w:name="_Toc536483709"/>
            <w:bookmarkStart w:id="260" w:name="_Toc536567175"/>
            <w:bookmarkStart w:id="261" w:name="_Toc5779034"/>
            <w:r w:rsidRPr="00BB1F38">
              <w:rPr>
                <w:rFonts w:eastAsia="Calibri"/>
                <w:kern w:val="32"/>
                <w:sz w:val="18"/>
                <w:szCs w:val="18"/>
                <w:lang w:eastAsia="en-US"/>
              </w:rPr>
              <w:t>Регистрационный номер контрагента</w:t>
            </w:r>
            <w:bookmarkEnd w:id="257"/>
            <w:bookmarkEnd w:id="258"/>
            <w:bookmarkEnd w:id="259"/>
            <w:bookmarkEnd w:id="260"/>
            <w:bookmarkEnd w:id="26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0"/>
            <w:bookmarkStart w:id="263" w:name="_Toc485198255"/>
            <w:bookmarkStart w:id="264" w:name="_Toc536483710"/>
            <w:bookmarkStart w:id="265" w:name="_Toc536567176"/>
            <w:bookmarkStart w:id="266" w:name="_Toc5779035"/>
            <w:r w:rsidRPr="00BB1F38">
              <w:rPr>
                <w:rFonts w:eastAsia="Calibri"/>
                <w:kern w:val="32"/>
                <w:sz w:val="18"/>
                <w:szCs w:val="18"/>
                <w:lang w:eastAsia="en-US"/>
              </w:rPr>
              <w:t>Контрагент является филиалом</w:t>
            </w:r>
            <w:bookmarkEnd w:id="262"/>
            <w:bookmarkEnd w:id="263"/>
            <w:bookmarkEnd w:id="264"/>
            <w:bookmarkEnd w:id="265"/>
            <w:bookmarkEnd w:id="26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1"/>
            <w:bookmarkStart w:id="268" w:name="_Toc485198256"/>
            <w:bookmarkStart w:id="269" w:name="_Toc536483711"/>
            <w:bookmarkStart w:id="270" w:name="_Toc536567177"/>
            <w:bookmarkStart w:id="271" w:name="_Toc5779036"/>
            <w:r w:rsidRPr="00BB1F38">
              <w:rPr>
                <w:rFonts w:eastAsia="Calibri"/>
                <w:kern w:val="32"/>
                <w:sz w:val="18"/>
                <w:szCs w:val="18"/>
                <w:lang w:eastAsia="en-US"/>
              </w:rPr>
              <w:t>ОГРН/ ОГРНИП контрагента</w:t>
            </w:r>
            <w:bookmarkEnd w:id="267"/>
            <w:bookmarkEnd w:id="268"/>
            <w:bookmarkEnd w:id="269"/>
            <w:bookmarkEnd w:id="270"/>
            <w:bookmarkEnd w:id="27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2"/>
            <w:bookmarkStart w:id="273" w:name="_Toc485198257"/>
            <w:bookmarkStart w:id="274" w:name="_Toc536483712"/>
            <w:bookmarkStart w:id="275" w:name="_Toc536567178"/>
            <w:bookmarkStart w:id="276" w:name="_Toc5779037"/>
            <w:r w:rsidRPr="00BB1F38">
              <w:rPr>
                <w:rFonts w:eastAsia="Calibri"/>
                <w:kern w:val="32"/>
                <w:sz w:val="18"/>
                <w:szCs w:val="18"/>
                <w:lang w:eastAsia="en-US"/>
              </w:rPr>
              <w:t>Адрес регистрации контрагента</w:t>
            </w:r>
            <w:bookmarkEnd w:id="272"/>
            <w:bookmarkEnd w:id="273"/>
            <w:bookmarkEnd w:id="274"/>
            <w:bookmarkEnd w:id="275"/>
            <w:bookmarkEnd w:id="27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3"/>
            <w:bookmarkStart w:id="278" w:name="_Toc485198258"/>
            <w:bookmarkStart w:id="279" w:name="_Toc536483713"/>
            <w:bookmarkStart w:id="280" w:name="_Toc536567179"/>
            <w:bookmarkStart w:id="281" w:name="_Toc5779038"/>
            <w:r w:rsidRPr="00BB1F38">
              <w:rPr>
                <w:rFonts w:eastAsia="Calibri"/>
                <w:kern w:val="32"/>
                <w:sz w:val="18"/>
                <w:szCs w:val="18"/>
                <w:lang w:eastAsia="en-US"/>
              </w:rPr>
              <w:t>Организационно-правовая форма контрагента</w:t>
            </w:r>
            <w:bookmarkEnd w:id="277"/>
            <w:bookmarkEnd w:id="278"/>
            <w:bookmarkEnd w:id="279"/>
            <w:bookmarkEnd w:id="280"/>
            <w:bookmarkEnd w:id="28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4"/>
            <w:bookmarkStart w:id="283" w:name="_Toc485198259"/>
            <w:bookmarkStart w:id="284" w:name="_Toc536483714"/>
            <w:bookmarkStart w:id="285" w:name="_Toc536567180"/>
            <w:bookmarkStart w:id="286" w:name="_Toc5779039"/>
            <w:r w:rsidRPr="00BB1F38">
              <w:rPr>
                <w:rFonts w:eastAsia="Calibri"/>
                <w:kern w:val="32"/>
                <w:sz w:val="18"/>
                <w:szCs w:val="18"/>
                <w:lang w:eastAsia="en-US"/>
              </w:rPr>
              <w:t>Наименование контрагента</w:t>
            </w:r>
            <w:bookmarkEnd w:id="282"/>
            <w:bookmarkEnd w:id="283"/>
            <w:bookmarkEnd w:id="284"/>
            <w:bookmarkEnd w:id="285"/>
            <w:bookmarkEnd w:id="28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6567181"/>
            <w:bookmarkStart w:id="291" w:name="_Toc5779040"/>
            <w:r w:rsidRPr="00BB1F38">
              <w:rPr>
                <w:rFonts w:eastAsia="Calibri"/>
                <w:kern w:val="32"/>
                <w:sz w:val="18"/>
                <w:szCs w:val="18"/>
                <w:lang w:eastAsia="en-US"/>
              </w:rPr>
              <w:t>Код ОКВЭД</w:t>
            </w:r>
            <w:bookmarkEnd w:id="287"/>
            <w:bookmarkEnd w:id="288"/>
            <w:bookmarkEnd w:id="289"/>
            <w:bookmarkEnd w:id="290"/>
            <w:bookmarkEnd w:id="29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6"/>
            <w:bookmarkStart w:id="293" w:name="_Toc485198261"/>
            <w:bookmarkStart w:id="294" w:name="_Toc536483716"/>
            <w:bookmarkStart w:id="295" w:name="_Toc536567182"/>
            <w:bookmarkStart w:id="296" w:name="_Toc5779041"/>
            <w:r w:rsidRPr="00BB1F38">
              <w:rPr>
                <w:rFonts w:eastAsia="Calibri"/>
                <w:kern w:val="32"/>
                <w:sz w:val="18"/>
                <w:szCs w:val="18"/>
                <w:lang w:eastAsia="en-US"/>
              </w:rPr>
              <w:t>ФИО руководителя</w:t>
            </w:r>
            <w:bookmarkEnd w:id="292"/>
            <w:bookmarkEnd w:id="293"/>
            <w:bookmarkEnd w:id="294"/>
            <w:bookmarkEnd w:id="295"/>
            <w:bookmarkEnd w:id="29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7"/>
            <w:bookmarkStart w:id="298" w:name="_Toc485198262"/>
            <w:bookmarkStart w:id="299" w:name="_Toc536483717"/>
            <w:bookmarkStart w:id="300" w:name="_Toc536567183"/>
            <w:bookmarkStart w:id="301" w:name="_Toc5779042"/>
            <w:r w:rsidRPr="00BB1F38">
              <w:rPr>
                <w:rFonts w:eastAsia="Calibri"/>
                <w:kern w:val="32"/>
                <w:sz w:val="18"/>
                <w:szCs w:val="18"/>
                <w:lang w:eastAsia="en-US"/>
              </w:rPr>
              <w:t>Серия и номер документа, удостоверяющего личность руководителя</w:t>
            </w:r>
            <w:bookmarkEnd w:id="297"/>
            <w:bookmarkEnd w:id="298"/>
            <w:bookmarkEnd w:id="299"/>
            <w:bookmarkEnd w:id="300"/>
            <w:bookmarkEnd w:id="30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2" w:name="_Toc476225328"/>
            <w:bookmarkStart w:id="303" w:name="_Toc485198263"/>
            <w:bookmarkStart w:id="304" w:name="_Toc536483718"/>
            <w:bookmarkStart w:id="305" w:name="_Toc536567184"/>
            <w:bookmarkStart w:id="306" w:name="_Toc5779043"/>
            <w:r w:rsidRPr="00BB1F38">
              <w:rPr>
                <w:rFonts w:eastAsia="Calibri"/>
                <w:kern w:val="32"/>
                <w:sz w:val="18"/>
                <w:szCs w:val="18"/>
                <w:lang w:eastAsia="en-US"/>
              </w:rPr>
              <w:t>Адрес сайта, с раскрытием информации о цепочке собственников</w:t>
            </w:r>
            <w:bookmarkEnd w:id="302"/>
            <w:bookmarkEnd w:id="303"/>
            <w:bookmarkEnd w:id="304"/>
            <w:bookmarkEnd w:id="305"/>
            <w:bookmarkEnd w:id="30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bookmarkStart w:id="311" w:name="_Toc5779044"/>
            <w:r w:rsidRPr="00BB1F38">
              <w:rPr>
                <w:rFonts w:eastAsia="Calibri"/>
                <w:kern w:val="32"/>
                <w:sz w:val="18"/>
                <w:szCs w:val="18"/>
                <w:lang w:eastAsia="en-US"/>
              </w:rPr>
              <w:t>Оффшорная зона</w:t>
            </w:r>
            <w:bookmarkEnd w:id="307"/>
            <w:bookmarkEnd w:id="308"/>
            <w:bookmarkEnd w:id="309"/>
            <w:bookmarkEnd w:id="310"/>
            <w:bookmarkEnd w:id="31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12" w:name="_Toc476225330"/>
            <w:bookmarkStart w:id="313" w:name="_Toc485198265"/>
            <w:bookmarkStart w:id="314" w:name="_Toc536483720"/>
            <w:bookmarkStart w:id="315" w:name="_Toc536567186"/>
            <w:bookmarkStart w:id="316" w:name="_Toc5779045"/>
            <w:r w:rsidRPr="00BB1F38">
              <w:rPr>
                <w:rFonts w:eastAsia="Calibri"/>
                <w:kern w:val="32"/>
                <w:sz w:val="18"/>
                <w:szCs w:val="18"/>
                <w:lang w:eastAsia="en-US"/>
              </w:rPr>
              <w:t>0</w:t>
            </w:r>
            <w:bookmarkEnd w:id="312"/>
            <w:bookmarkEnd w:id="313"/>
            <w:bookmarkEnd w:id="314"/>
            <w:bookmarkEnd w:id="315"/>
            <w:bookmarkEnd w:id="31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1"/>
            <w:bookmarkStart w:id="318" w:name="_Toc485198266"/>
            <w:bookmarkStart w:id="319" w:name="_Toc536483721"/>
            <w:bookmarkStart w:id="320" w:name="_Toc536567187"/>
            <w:bookmarkStart w:id="321" w:name="_Toc5779046"/>
            <w:r w:rsidRPr="00BB1F38">
              <w:rPr>
                <w:rFonts w:eastAsia="Calibri"/>
                <w:kern w:val="32"/>
                <w:sz w:val="18"/>
                <w:szCs w:val="18"/>
                <w:lang w:eastAsia="en-US"/>
              </w:rPr>
              <w:t>1</w:t>
            </w:r>
            <w:bookmarkEnd w:id="317"/>
            <w:bookmarkEnd w:id="318"/>
            <w:bookmarkEnd w:id="319"/>
            <w:bookmarkEnd w:id="320"/>
            <w:bookmarkEnd w:id="32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2"/>
            <w:bookmarkStart w:id="323" w:name="_Toc485198267"/>
            <w:bookmarkStart w:id="324" w:name="_Toc536483722"/>
            <w:bookmarkStart w:id="325" w:name="_Toc536567188"/>
            <w:bookmarkStart w:id="326" w:name="_Toc5779047"/>
            <w:r w:rsidRPr="00BB1F38">
              <w:rPr>
                <w:rFonts w:eastAsia="Calibri"/>
                <w:kern w:val="32"/>
                <w:sz w:val="18"/>
                <w:szCs w:val="18"/>
                <w:lang w:eastAsia="en-US"/>
              </w:rPr>
              <w:t>2</w:t>
            </w:r>
            <w:bookmarkEnd w:id="322"/>
            <w:bookmarkEnd w:id="323"/>
            <w:bookmarkEnd w:id="324"/>
            <w:bookmarkEnd w:id="325"/>
            <w:bookmarkEnd w:id="32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3"/>
            <w:bookmarkStart w:id="328" w:name="_Toc485198268"/>
            <w:bookmarkStart w:id="329" w:name="_Toc536483723"/>
            <w:bookmarkStart w:id="330" w:name="_Toc536567189"/>
            <w:bookmarkStart w:id="331" w:name="_Toc5779048"/>
            <w:r w:rsidRPr="00BB1F38">
              <w:rPr>
                <w:rFonts w:eastAsia="Calibri"/>
                <w:kern w:val="32"/>
                <w:sz w:val="18"/>
                <w:szCs w:val="18"/>
                <w:lang w:eastAsia="en-US"/>
              </w:rPr>
              <w:t>3</w:t>
            </w:r>
            <w:bookmarkEnd w:id="327"/>
            <w:bookmarkEnd w:id="328"/>
            <w:bookmarkEnd w:id="329"/>
            <w:bookmarkEnd w:id="330"/>
            <w:bookmarkEnd w:id="33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4"/>
            <w:bookmarkStart w:id="333" w:name="_Toc485198269"/>
            <w:bookmarkStart w:id="334" w:name="_Toc536483724"/>
            <w:bookmarkStart w:id="335" w:name="_Toc536567190"/>
            <w:bookmarkStart w:id="336" w:name="_Toc5779049"/>
            <w:r w:rsidRPr="00BB1F38">
              <w:rPr>
                <w:rFonts w:eastAsia="Calibri"/>
                <w:kern w:val="32"/>
                <w:sz w:val="18"/>
                <w:szCs w:val="18"/>
                <w:lang w:eastAsia="en-US"/>
              </w:rPr>
              <w:t>4</w:t>
            </w:r>
            <w:bookmarkEnd w:id="332"/>
            <w:bookmarkEnd w:id="333"/>
            <w:bookmarkEnd w:id="334"/>
            <w:bookmarkEnd w:id="335"/>
            <w:bookmarkEnd w:id="33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5"/>
            <w:bookmarkStart w:id="338" w:name="_Toc485198270"/>
            <w:bookmarkStart w:id="339" w:name="_Toc536483725"/>
            <w:bookmarkStart w:id="340" w:name="_Toc536567191"/>
            <w:bookmarkStart w:id="341" w:name="_Toc5779050"/>
            <w:r w:rsidRPr="00BB1F38">
              <w:rPr>
                <w:rFonts w:eastAsia="Calibri"/>
                <w:kern w:val="32"/>
                <w:sz w:val="18"/>
                <w:szCs w:val="18"/>
                <w:lang w:eastAsia="en-US"/>
              </w:rPr>
              <w:t>5</w:t>
            </w:r>
            <w:bookmarkEnd w:id="337"/>
            <w:bookmarkEnd w:id="338"/>
            <w:bookmarkEnd w:id="339"/>
            <w:bookmarkEnd w:id="340"/>
            <w:bookmarkEnd w:id="34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6"/>
            <w:bookmarkStart w:id="343" w:name="_Toc485198271"/>
            <w:bookmarkStart w:id="344" w:name="_Toc536483726"/>
            <w:bookmarkStart w:id="345" w:name="_Toc536567192"/>
            <w:bookmarkStart w:id="346" w:name="_Toc5779051"/>
            <w:r w:rsidRPr="00BB1F38">
              <w:rPr>
                <w:rFonts w:eastAsia="Calibri"/>
                <w:kern w:val="32"/>
                <w:sz w:val="18"/>
                <w:szCs w:val="18"/>
                <w:lang w:eastAsia="en-US"/>
              </w:rPr>
              <w:t>6</w:t>
            </w:r>
            <w:bookmarkEnd w:id="342"/>
            <w:bookmarkEnd w:id="343"/>
            <w:bookmarkEnd w:id="344"/>
            <w:bookmarkEnd w:id="345"/>
            <w:bookmarkEnd w:id="34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7"/>
            <w:bookmarkStart w:id="348" w:name="_Toc485198272"/>
            <w:bookmarkStart w:id="349" w:name="_Toc536483727"/>
            <w:bookmarkStart w:id="350" w:name="_Toc536567193"/>
            <w:bookmarkStart w:id="351" w:name="_Toc5779052"/>
            <w:r w:rsidRPr="00BB1F38">
              <w:rPr>
                <w:rFonts w:eastAsia="Calibri"/>
                <w:kern w:val="32"/>
                <w:sz w:val="18"/>
                <w:szCs w:val="18"/>
                <w:lang w:eastAsia="en-US"/>
              </w:rPr>
              <w:t>7</w:t>
            </w:r>
            <w:bookmarkEnd w:id="347"/>
            <w:bookmarkEnd w:id="348"/>
            <w:bookmarkEnd w:id="349"/>
            <w:bookmarkEnd w:id="350"/>
            <w:bookmarkEnd w:id="35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38"/>
            <w:bookmarkStart w:id="353" w:name="_Toc485198273"/>
            <w:bookmarkStart w:id="354" w:name="_Toc536483728"/>
            <w:bookmarkStart w:id="355" w:name="_Toc536567194"/>
            <w:bookmarkStart w:id="356" w:name="_Toc5779053"/>
            <w:r w:rsidRPr="00BB1F38">
              <w:rPr>
                <w:rFonts w:eastAsia="Calibri"/>
                <w:kern w:val="32"/>
                <w:sz w:val="18"/>
                <w:szCs w:val="18"/>
                <w:lang w:eastAsia="en-US"/>
              </w:rPr>
              <w:t>8</w:t>
            </w:r>
            <w:bookmarkEnd w:id="352"/>
            <w:bookmarkEnd w:id="353"/>
            <w:bookmarkEnd w:id="354"/>
            <w:bookmarkEnd w:id="355"/>
            <w:bookmarkEnd w:id="35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39"/>
            <w:bookmarkStart w:id="358" w:name="_Toc485198274"/>
            <w:bookmarkStart w:id="359" w:name="_Toc536483729"/>
            <w:bookmarkStart w:id="360" w:name="_Toc536567195"/>
            <w:bookmarkStart w:id="361" w:name="_Toc5779054"/>
            <w:r w:rsidRPr="00BB1F38">
              <w:rPr>
                <w:rFonts w:eastAsia="Calibri"/>
                <w:kern w:val="32"/>
                <w:sz w:val="18"/>
                <w:szCs w:val="18"/>
                <w:lang w:eastAsia="en-US"/>
              </w:rPr>
              <w:t>9</w:t>
            </w:r>
            <w:bookmarkEnd w:id="357"/>
            <w:bookmarkEnd w:id="358"/>
            <w:bookmarkEnd w:id="359"/>
            <w:bookmarkEnd w:id="360"/>
            <w:bookmarkEnd w:id="36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0"/>
            <w:bookmarkStart w:id="363" w:name="_Toc485198275"/>
            <w:bookmarkStart w:id="364" w:name="_Toc536483730"/>
            <w:bookmarkStart w:id="365" w:name="_Toc536567196"/>
            <w:bookmarkStart w:id="366" w:name="_Toc5779055"/>
            <w:r w:rsidRPr="00BB1F38">
              <w:rPr>
                <w:rFonts w:eastAsia="Calibri"/>
                <w:kern w:val="32"/>
                <w:sz w:val="18"/>
                <w:szCs w:val="18"/>
                <w:lang w:eastAsia="en-US"/>
              </w:rPr>
              <w:t>10</w:t>
            </w:r>
            <w:bookmarkEnd w:id="362"/>
            <w:bookmarkEnd w:id="363"/>
            <w:bookmarkEnd w:id="364"/>
            <w:bookmarkEnd w:id="365"/>
            <w:bookmarkEnd w:id="36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1"/>
            <w:bookmarkStart w:id="368" w:name="_Toc485198276"/>
            <w:bookmarkStart w:id="369" w:name="_Toc536483731"/>
            <w:bookmarkStart w:id="370" w:name="_Toc536567197"/>
            <w:bookmarkStart w:id="371" w:name="_Toc5779056"/>
            <w:r w:rsidRPr="00BB1F38">
              <w:rPr>
                <w:rFonts w:eastAsia="Calibri"/>
                <w:kern w:val="32"/>
                <w:sz w:val="18"/>
                <w:szCs w:val="18"/>
                <w:lang w:eastAsia="en-US"/>
              </w:rPr>
              <w:t>11</w:t>
            </w:r>
            <w:bookmarkEnd w:id="367"/>
            <w:bookmarkEnd w:id="368"/>
            <w:bookmarkEnd w:id="369"/>
            <w:bookmarkEnd w:id="370"/>
            <w:bookmarkEnd w:id="37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2"/>
            <w:bookmarkStart w:id="373" w:name="_Toc485198277"/>
            <w:bookmarkStart w:id="374" w:name="_Toc536483732"/>
            <w:bookmarkStart w:id="375" w:name="_Toc536567198"/>
            <w:bookmarkStart w:id="376" w:name="_Toc5779057"/>
            <w:r w:rsidRPr="00BB1F38">
              <w:rPr>
                <w:rFonts w:eastAsia="Calibri"/>
                <w:kern w:val="32"/>
                <w:sz w:val="18"/>
                <w:szCs w:val="18"/>
                <w:lang w:eastAsia="en-US"/>
              </w:rPr>
              <w:t>12</w:t>
            </w:r>
            <w:bookmarkEnd w:id="372"/>
            <w:bookmarkEnd w:id="373"/>
            <w:bookmarkEnd w:id="374"/>
            <w:bookmarkEnd w:id="375"/>
            <w:bookmarkEnd w:id="37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3"/>
            <w:bookmarkStart w:id="378" w:name="_Toc485198278"/>
            <w:bookmarkStart w:id="379" w:name="_Toc536483733"/>
            <w:bookmarkStart w:id="380" w:name="_Toc536567199"/>
            <w:bookmarkStart w:id="381" w:name="_Toc5779058"/>
            <w:r w:rsidRPr="00BB1F38">
              <w:rPr>
                <w:rFonts w:eastAsia="Calibri"/>
                <w:kern w:val="32"/>
                <w:sz w:val="18"/>
                <w:szCs w:val="18"/>
                <w:lang w:eastAsia="en-US"/>
              </w:rPr>
              <w:t>13</w:t>
            </w:r>
            <w:bookmarkEnd w:id="377"/>
            <w:bookmarkEnd w:id="378"/>
            <w:bookmarkEnd w:id="379"/>
            <w:bookmarkEnd w:id="380"/>
            <w:bookmarkEnd w:id="38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2" w:name="_Toc476225344"/>
            <w:bookmarkStart w:id="383" w:name="_Toc485198279"/>
            <w:bookmarkStart w:id="384" w:name="_Toc536483734"/>
            <w:bookmarkStart w:id="385" w:name="_Toc536567200"/>
            <w:bookmarkStart w:id="386" w:name="_Toc5779059"/>
            <w:r w:rsidRPr="00BB1F38">
              <w:rPr>
                <w:rFonts w:eastAsia="Calibri"/>
                <w:kern w:val="32"/>
                <w:sz w:val="18"/>
                <w:szCs w:val="18"/>
                <w:lang w:eastAsia="en-US"/>
              </w:rPr>
              <w:t>14</w:t>
            </w:r>
            <w:bookmarkEnd w:id="382"/>
            <w:bookmarkEnd w:id="383"/>
            <w:bookmarkEnd w:id="384"/>
            <w:bookmarkEnd w:id="385"/>
            <w:bookmarkEnd w:id="38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5"/>
            <w:bookmarkStart w:id="388" w:name="_Toc485198280"/>
            <w:bookmarkStart w:id="389" w:name="_Toc536483735"/>
            <w:bookmarkStart w:id="390" w:name="_Toc536567201"/>
            <w:bookmarkStart w:id="391" w:name="_Toc5779060"/>
            <w:r w:rsidRPr="00BB1F38">
              <w:rPr>
                <w:rFonts w:eastAsia="Calibri"/>
                <w:kern w:val="32"/>
                <w:sz w:val="18"/>
                <w:szCs w:val="18"/>
                <w:lang w:eastAsia="en-US"/>
              </w:rPr>
              <w:t>15</w:t>
            </w:r>
            <w:bookmarkEnd w:id="387"/>
            <w:bookmarkEnd w:id="388"/>
            <w:bookmarkEnd w:id="389"/>
            <w:bookmarkEnd w:id="390"/>
            <w:bookmarkEnd w:id="39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92" w:name="_Toc476225346"/>
            <w:bookmarkStart w:id="393" w:name="_Toc485198281"/>
            <w:bookmarkStart w:id="394" w:name="_Toc536483736"/>
            <w:bookmarkStart w:id="395" w:name="_Toc536567202"/>
            <w:bookmarkStart w:id="396" w:name="_Toc5779061"/>
            <w:r w:rsidRPr="00BB1F38">
              <w:rPr>
                <w:rFonts w:eastAsia="Calibri"/>
                <w:kern w:val="32"/>
                <w:sz w:val="20"/>
                <w:szCs w:val="22"/>
                <w:lang w:eastAsia="en-US"/>
              </w:rPr>
              <w:t>Данные о собственниках</w:t>
            </w:r>
            <w:bookmarkEnd w:id="392"/>
            <w:bookmarkEnd w:id="393"/>
            <w:bookmarkEnd w:id="394"/>
            <w:bookmarkEnd w:id="395"/>
            <w:bookmarkEnd w:id="39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7" w:name="_Toc476225347"/>
            <w:bookmarkStart w:id="398" w:name="_Toc485198282"/>
            <w:bookmarkStart w:id="399" w:name="_Toc536483737"/>
            <w:bookmarkStart w:id="400" w:name="_Toc536567203"/>
            <w:bookmarkStart w:id="401" w:name="_Toc5779062"/>
            <w:r w:rsidRPr="00BB1F38">
              <w:rPr>
                <w:rFonts w:eastAsia="Calibri"/>
                <w:kern w:val="32"/>
                <w:sz w:val="18"/>
                <w:szCs w:val="18"/>
                <w:lang w:eastAsia="en-US"/>
              </w:rPr>
              <w:t>№</w:t>
            </w:r>
            <w:bookmarkEnd w:id="397"/>
            <w:bookmarkEnd w:id="398"/>
            <w:bookmarkEnd w:id="399"/>
            <w:bookmarkEnd w:id="400"/>
            <w:bookmarkEnd w:id="40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48"/>
            <w:bookmarkStart w:id="403" w:name="_Toc485198283"/>
            <w:bookmarkStart w:id="404" w:name="_Toc536483738"/>
            <w:bookmarkStart w:id="405" w:name="_Toc536567204"/>
            <w:bookmarkStart w:id="406" w:name="_Toc5779063"/>
            <w:r w:rsidRPr="00BB1F38">
              <w:rPr>
                <w:rFonts w:eastAsia="Calibri"/>
                <w:kern w:val="32"/>
                <w:sz w:val="18"/>
                <w:szCs w:val="18"/>
                <w:lang w:eastAsia="en-US"/>
              </w:rPr>
              <w:t>Тип  организации</w:t>
            </w:r>
            <w:bookmarkEnd w:id="402"/>
            <w:bookmarkEnd w:id="403"/>
            <w:bookmarkEnd w:id="404"/>
            <w:bookmarkEnd w:id="405"/>
            <w:bookmarkEnd w:id="40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49"/>
            <w:bookmarkStart w:id="408" w:name="_Toc485198284"/>
            <w:bookmarkStart w:id="409" w:name="_Toc536483739"/>
            <w:bookmarkStart w:id="410" w:name="_Toc536567205"/>
            <w:bookmarkStart w:id="411" w:name="_Toc5779064"/>
            <w:r w:rsidRPr="00BB1F38">
              <w:rPr>
                <w:rFonts w:eastAsia="Calibri"/>
                <w:kern w:val="32"/>
                <w:sz w:val="18"/>
                <w:szCs w:val="18"/>
                <w:lang w:eastAsia="en-US"/>
              </w:rPr>
              <w:t>Тип публичности</w:t>
            </w:r>
            <w:bookmarkEnd w:id="407"/>
            <w:bookmarkEnd w:id="408"/>
            <w:bookmarkEnd w:id="409"/>
            <w:bookmarkEnd w:id="410"/>
            <w:bookmarkEnd w:id="41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0"/>
            <w:bookmarkStart w:id="413" w:name="_Toc485198285"/>
            <w:bookmarkStart w:id="414" w:name="_Toc536483740"/>
            <w:bookmarkStart w:id="415" w:name="_Toc536567206"/>
            <w:bookmarkStart w:id="416" w:name="_Toc5779065"/>
            <w:r w:rsidRPr="00BB1F38">
              <w:rPr>
                <w:rFonts w:eastAsia="Calibri"/>
                <w:kern w:val="32"/>
                <w:sz w:val="18"/>
                <w:szCs w:val="18"/>
                <w:lang w:eastAsia="en-US"/>
              </w:rPr>
              <w:t>ИНН собственника</w:t>
            </w:r>
            <w:bookmarkEnd w:id="412"/>
            <w:bookmarkEnd w:id="413"/>
            <w:bookmarkEnd w:id="414"/>
            <w:bookmarkEnd w:id="415"/>
            <w:bookmarkEnd w:id="41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1"/>
            <w:bookmarkStart w:id="418" w:name="_Toc485198286"/>
            <w:bookmarkStart w:id="419" w:name="_Toc536483741"/>
            <w:bookmarkStart w:id="420" w:name="_Toc536567207"/>
            <w:bookmarkStart w:id="421" w:name="_Toc5779066"/>
            <w:r w:rsidRPr="00BB1F38">
              <w:rPr>
                <w:rFonts w:eastAsia="Calibri"/>
                <w:kern w:val="32"/>
                <w:sz w:val="18"/>
                <w:szCs w:val="18"/>
                <w:lang w:eastAsia="en-US"/>
              </w:rPr>
              <w:t>Регистрационный номер собственника</w:t>
            </w:r>
            <w:bookmarkEnd w:id="417"/>
            <w:bookmarkEnd w:id="418"/>
            <w:bookmarkEnd w:id="419"/>
            <w:bookmarkEnd w:id="420"/>
            <w:bookmarkEnd w:id="42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2"/>
            <w:bookmarkStart w:id="423" w:name="_Toc485198287"/>
            <w:bookmarkStart w:id="424" w:name="_Toc536483742"/>
            <w:bookmarkStart w:id="425" w:name="_Toc536567208"/>
            <w:bookmarkStart w:id="426" w:name="_Toc5779067"/>
            <w:r w:rsidRPr="00BB1F38">
              <w:rPr>
                <w:rFonts w:eastAsia="Calibri"/>
                <w:kern w:val="32"/>
                <w:sz w:val="18"/>
                <w:szCs w:val="18"/>
                <w:lang w:eastAsia="en-US"/>
              </w:rPr>
              <w:t>ОГРН собственника</w:t>
            </w:r>
            <w:bookmarkEnd w:id="422"/>
            <w:bookmarkEnd w:id="423"/>
            <w:bookmarkEnd w:id="424"/>
            <w:bookmarkEnd w:id="425"/>
            <w:bookmarkEnd w:id="42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3"/>
            <w:bookmarkStart w:id="428" w:name="_Toc485198288"/>
            <w:bookmarkStart w:id="429" w:name="_Toc536483743"/>
            <w:bookmarkStart w:id="430" w:name="_Toc536567209"/>
            <w:bookmarkStart w:id="431" w:name="_Toc5779068"/>
            <w:r w:rsidRPr="00BB1F38">
              <w:rPr>
                <w:rFonts w:eastAsia="Calibri"/>
                <w:kern w:val="32"/>
                <w:sz w:val="18"/>
                <w:szCs w:val="18"/>
                <w:lang w:eastAsia="en-US"/>
              </w:rPr>
              <w:t>Организационно-правовая форма собственника</w:t>
            </w:r>
            <w:bookmarkEnd w:id="427"/>
            <w:bookmarkEnd w:id="428"/>
            <w:bookmarkEnd w:id="429"/>
            <w:bookmarkEnd w:id="430"/>
            <w:bookmarkEnd w:id="43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4"/>
            <w:bookmarkStart w:id="433" w:name="_Toc485198289"/>
            <w:bookmarkStart w:id="434" w:name="_Toc536483744"/>
            <w:bookmarkStart w:id="435" w:name="_Toc536567210"/>
            <w:bookmarkStart w:id="436" w:name="_Toc5779069"/>
            <w:r w:rsidRPr="00BB1F38">
              <w:rPr>
                <w:rFonts w:eastAsia="Calibri"/>
                <w:kern w:val="32"/>
                <w:sz w:val="18"/>
                <w:szCs w:val="18"/>
                <w:lang w:eastAsia="en-US"/>
              </w:rPr>
              <w:t>Наименование собственника</w:t>
            </w:r>
            <w:bookmarkEnd w:id="432"/>
            <w:bookmarkEnd w:id="433"/>
            <w:bookmarkEnd w:id="434"/>
            <w:bookmarkEnd w:id="435"/>
            <w:bookmarkEnd w:id="43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5"/>
            <w:bookmarkStart w:id="438" w:name="_Toc485198290"/>
            <w:bookmarkStart w:id="439" w:name="_Toc536483745"/>
            <w:bookmarkStart w:id="440" w:name="_Toc536567211"/>
            <w:bookmarkStart w:id="441" w:name="_Toc5779070"/>
            <w:r w:rsidRPr="00BB1F38">
              <w:rPr>
                <w:rFonts w:eastAsia="Calibri"/>
                <w:kern w:val="32"/>
                <w:sz w:val="18"/>
                <w:szCs w:val="18"/>
                <w:lang w:eastAsia="en-US"/>
              </w:rPr>
              <w:t>Адрес регистрации контрагента</w:t>
            </w:r>
            <w:bookmarkEnd w:id="437"/>
            <w:bookmarkEnd w:id="438"/>
            <w:bookmarkEnd w:id="439"/>
            <w:bookmarkEnd w:id="440"/>
            <w:bookmarkEnd w:id="44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2" w:name="_Toc476225356"/>
            <w:bookmarkStart w:id="443" w:name="_Toc485198291"/>
            <w:bookmarkStart w:id="444" w:name="_Toc536483746"/>
            <w:bookmarkStart w:id="445" w:name="_Toc536567212"/>
            <w:bookmarkStart w:id="446" w:name="_Toc5779071"/>
            <w:r w:rsidRPr="00BB1F38">
              <w:rPr>
                <w:rFonts w:eastAsia="Calibri"/>
                <w:kern w:val="32"/>
                <w:sz w:val="18"/>
                <w:szCs w:val="18"/>
                <w:lang w:eastAsia="en-US"/>
              </w:rPr>
              <w:t>Серия и номер документа, удостоверяющего личность (для физ. лиц)</w:t>
            </w:r>
            <w:bookmarkEnd w:id="442"/>
            <w:bookmarkEnd w:id="443"/>
            <w:bookmarkEnd w:id="444"/>
            <w:bookmarkEnd w:id="445"/>
            <w:bookmarkEnd w:id="44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7" w:name="_Toc476225357"/>
            <w:bookmarkStart w:id="448" w:name="_Toc485198292"/>
            <w:bookmarkStart w:id="449" w:name="_Toc536483747"/>
            <w:bookmarkStart w:id="450" w:name="_Toc536567213"/>
            <w:bookmarkStart w:id="451" w:name="_Toc5779072"/>
            <w:r w:rsidRPr="00BB1F38">
              <w:rPr>
                <w:rFonts w:eastAsia="Calibri"/>
                <w:kern w:val="32"/>
                <w:sz w:val="18"/>
                <w:szCs w:val="18"/>
                <w:lang w:eastAsia="en-US"/>
              </w:rPr>
              <w:t>Тип собственника</w:t>
            </w:r>
            <w:bookmarkEnd w:id="447"/>
            <w:bookmarkEnd w:id="448"/>
            <w:bookmarkEnd w:id="449"/>
            <w:bookmarkEnd w:id="450"/>
            <w:bookmarkEnd w:id="45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2" w:name="_Toc476225358"/>
            <w:bookmarkStart w:id="453" w:name="_Toc485198293"/>
            <w:bookmarkStart w:id="454" w:name="_Toc536483748"/>
            <w:bookmarkStart w:id="455" w:name="_Toc536567214"/>
            <w:bookmarkStart w:id="456" w:name="_Toc5779073"/>
            <w:r w:rsidRPr="00315EBE">
              <w:rPr>
                <w:rFonts w:eastAsia="Calibri"/>
                <w:kern w:val="32"/>
                <w:sz w:val="18"/>
                <w:szCs w:val="18"/>
                <w:lang w:eastAsia="en-US"/>
              </w:rPr>
              <w:t>Адрес сайта, с раскрытием информации о цепочке собственников</w:t>
            </w:r>
            <w:bookmarkEnd w:id="452"/>
            <w:bookmarkEnd w:id="453"/>
            <w:bookmarkEnd w:id="454"/>
            <w:bookmarkEnd w:id="455"/>
            <w:bookmarkEnd w:id="45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57" w:name="_Toc536483749"/>
            <w:bookmarkStart w:id="458" w:name="_Toc536567215"/>
            <w:bookmarkStart w:id="459" w:name="_Toc5779074"/>
            <w:r w:rsidRPr="00315EBE">
              <w:rPr>
                <w:rFonts w:eastAsia="Calibri"/>
                <w:kern w:val="32"/>
                <w:sz w:val="18"/>
                <w:szCs w:val="18"/>
                <w:lang w:eastAsia="en-US"/>
              </w:rPr>
              <w:t>Размер доли (для участников/ акционеров/ бенефициаров)</w:t>
            </w:r>
            <w:bookmarkEnd w:id="457"/>
            <w:bookmarkEnd w:id="458"/>
            <w:bookmarkEnd w:id="45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9"/>
            <w:bookmarkStart w:id="461" w:name="_Toc485198294"/>
            <w:bookmarkStart w:id="462" w:name="_Toc536483750"/>
            <w:bookmarkStart w:id="463" w:name="_Toc536567216"/>
            <w:bookmarkStart w:id="46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60"/>
            <w:bookmarkEnd w:id="461"/>
            <w:bookmarkEnd w:id="462"/>
            <w:bookmarkEnd w:id="463"/>
            <w:bookmarkEnd w:id="46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5" w:name="_Toc476225360"/>
            <w:bookmarkStart w:id="466" w:name="_Toc485198295"/>
            <w:bookmarkStart w:id="467" w:name="_Toc536483751"/>
            <w:bookmarkStart w:id="468" w:name="_Toc536567217"/>
            <w:bookmarkStart w:id="469" w:name="_Toc5779076"/>
            <w:r w:rsidRPr="00BB1F38">
              <w:rPr>
                <w:rFonts w:eastAsia="Calibri"/>
                <w:kern w:val="32"/>
                <w:sz w:val="18"/>
                <w:szCs w:val="18"/>
                <w:lang w:eastAsia="en-US"/>
              </w:rPr>
              <w:t>Оффшорная зона</w:t>
            </w:r>
            <w:bookmarkEnd w:id="465"/>
            <w:bookmarkEnd w:id="466"/>
            <w:bookmarkEnd w:id="467"/>
            <w:bookmarkEnd w:id="468"/>
            <w:bookmarkEnd w:id="46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1"/>
            <w:bookmarkStart w:id="471" w:name="_Toc485198296"/>
            <w:bookmarkStart w:id="472" w:name="_Toc536483752"/>
            <w:bookmarkStart w:id="473" w:name="_Toc536567218"/>
            <w:bookmarkStart w:id="474" w:name="_Toc5779077"/>
            <w:r w:rsidRPr="00BB1F38">
              <w:rPr>
                <w:rFonts w:eastAsia="Calibri"/>
                <w:kern w:val="32"/>
                <w:sz w:val="18"/>
                <w:szCs w:val="18"/>
                <w:lang w:eastAsia="en-US"/>
              </w:rPr>
              <w:t>1</w:t>
            </w:r>
            <w:bookmarkEnd w:id="470"/>
            <w:bookmarkEnd w:id="471"/>
            <w:bookmarkEnd w:id="472"/>
            <w:bookmarkEnd w:id="473"/>
            <w:bookmarkEnd w:id="47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2"/>
            <w:bookmarkStart w:id="476" w:name="_Toc485198297"/>
            <w:bookmarkStart w:id="477" w:name="_Toc536483753"/>
            <w:bookmarkStart w:id="478" w:name="_Toc536567219"/>
            <w:bookmarkStart w:id="479" w:name="_Toc5779078"/>
            <w:r w:rsidRPr="00BB1F38">
              <w:rPr>
                <w:rFonts w:eastAsia="Calibri"/>
                <w:kern w:val="32"/>
                <w:sz w:val="18"/>
                <w:szCs w:val="18"/>
                <w:lang w:eastAsia="en-US"/>
              </w:rPr>
              <w:t>2</w:t>
            </w:r>
            <w:bookmarkEnd w:id="475"/>
            <w:bookmarkEnd w:id="476"/>
            <w:bookmarkEnd w:id="477"/>
            <w:bookmarkEnd w:id="478"/>
            <w:bookmarkEnd w:id="47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3"/>
            <w:bookmarkStart w:id="481" w:name="_Toc485198298"/>
            <w:bookmarkStart w:id="482" w:name="_Toc536483754"/>
            <w:bookmarkStart w:id="483" w:name="_Toc536567220"/>
            <w:bookmarkStart w:id="484" w:name="_Toc5779079"/>
            <w:r w:rsidRPr="00BB1F38">
              <w:rPr>
                <w:rFonts w:eastAsia="Calibri"/>
                <w:kern w:val="32"/>
                <w:sz w:val="18"/>
                <w:szCs w:val="18"/>
                <w:lang w:eastAsia="en-US"/>
              </w:rPr>
              <w:t>3</w:t>
            </w:r>
            <w:bookmarkEnd w:id="480"/>
            <w:bookmarkEnd w:id="481"/>
            <w:bookmarkEnd w:id="482"/>
            <w:bookmarkEnd w:id="483"/>
            <w:bookmarkEnd w:id="48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4"/>
            <w:bookmarkStart w:id="486" w:name="_Toc485198299"/>
            <w:bookmarkStart w:id="487" w:name="_Toc536483755"/>
            <w:bookmarkStart w:id="488" w:name="_Toc536567221"/>
            <w:bookmarkStart w:id="489" w:name="_Toc5779080"/>
            <w:r w:rsidRPr="00BB1F38">
              <w:rPr>
                <w:rFonts w:eastAsia="Calibri"/>
                <w:kern w:val="32"/>
                <w:sz w:val="18"/>
                <w:szCs w:val="18"/>
                <w:lang w:eastAsia="en-US"/>
              </w:rPr>
              <w:t>4</w:t>
            </w:r>
            <w:bookmarkEnd w:id="485"/>
            <w:bookmarkEnd w:id="486"/>
            <w:bookmarkEnd w:id="487"/>
            <w:bookmarkEnd w:id="488"/>
            <w:bookmarkEnd w:id="48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5"/>
            <w:bookmarkStart w:id="491" w:name="_Toc485198300"/>
            <w:bookmarkStart w:id="492" w:name="_Toc536483756"/>
            <w:bookmarkStart w:id="493" w:name="_Toc536567222"/>
            <w:bookmarkStart w:id="494" w:name="_Toc5779081"/>
            <w:r w:rsidRPr="00BB1F38">
              <w:rPr>
                <w:rFonts w:eastAsia="Calibri"/>
                <w:kern w:val="32"/>
                <w:sz w:val="18"/>
                <w:szCs w:val="18"/>
                <w:lang w:eastAsia="en-US"/>
              </w:rPr>
              <w:t>5</w:t>
            </w:r>
            <w:bookmarkEnd w:id="490"/>
            <w:bookmarkEnd w:id="491"/>
            <w:bookmarkEnd w:id="492"/>
            <w:bookmarkEnd w:id="493"/>
            <w:bookmarkEnd w:id="49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6"/>
            <w:bookmarkStart w:id="496" w:name="_Toc485198301"/>
            <w:bookmarkStart w:id="497" w:name="_Toc536483757"/>
            <w:bookmarkStart w:id="498" w:name="_Toc536567223"/>
            <w:bookmarkStart w:id="499" w:name="_Toc5779082"/>
            <w:r w:rsidRPr="00BB1F38">
              <w:rPr>
                <w:rFonts w:eastAsia="Calibri"/>
                <w:kern w:val="32"/>
                <w:sz w:val="18"/>
                <w:szCs w:val="18"/>
                <w:lang w:eastAsia="en-US"/>
              </w:rPr>
              <w:t>6</w:t>
            </w:r>
            <w:bookmarkEnd w:id="495"/>
            <w:bookmarkEnd w:id="496"/>
            <w:bookmarkEnd w:id="497"/>
            <w:bookmarkEnd w:id="498"/>
            <w:bookmarkEnd w:id="49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7"/>
            <w:bookmarkStart w:id="501" w:name="_Toc485198302"/>
            <w:bookmarkStart w:id="502" w:name="_Toc536483758"/>
            <w:bookmarkStart w:id="503" w:name="_Toc536567224"/>
            <w:bookmarkStart w:id="504" w:name="_Toc5779083"/>
            <w:r w:rsidRPr="00BB1F38">
              <w:rPr>
                <w:rFonts w:eastAsia="Calibri"/>
                <w:kern w:val="32"/>
                <w:sz w:val="18"/>
                <w:szCs w:val="18"/>
                <w:lang w:eastAsia="en-US"/>
              </w:rPr>
              <w:t>7</w:t>
            </w:r>
            <w:bookmarkEnd w:id="500"/>
            <w:bookmarkEnd w:id="501"/>
            <w:bookmarkEnd w:id="502"/>
            <w:bookmarkEnd w:id="503"/>
            <w:bookmarkEnd w:id="50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68"/>
            <w:bookmarkStart w:id="506" w:name="_Toc485198303"/>
            <w:bookmarkStart w:id="507" w:name="_Toc536483759"/>
            <w:bookmarkStart w:id="508" w:name="_Toc536567225"/>
            <w:bookmarkStart w:id="509" w:name="_Toc5779084"/>
            <w:r w:rsidRPr="00BB1F38">
              <w:rPr>
                <w:rFonts w:eastAsia="Calibri"/>
                <w:kern w:val="32"/>
                <w:sz w:val="18"/>
                <w:szCs w:val="18"/>
                <w:lang w:eastAsia="en-US"/>
              </w:rPr>
              <w:t>8</w:t>
            </w:r>
            <w:bookmarkEnd w:id="505"/>
            <w:bookmarkEnd w:id="506"/>
            <w:bookmarkEnd w:id="507"/>
            <w:bookmarkEnd w:id="508"/>
            <w:bookmarkEnd w:id="50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69"/>
            <w:bookmarkStart w:id="511" w:name="_Toc485198304"/>
            <w:bookmarkStart w:id="512" w:name="_Toc536483760"/>
            <w:bookmarkStart w:id="513" w:name="_Toc536567226"/>
            <w:bookmarkStart w:id="514" w:name="_Toc5779085"/>
            <w:r w:rsidRPr="00BB1F38">
              <w:rPr>
                <w:rFonts w:eastAsia="Calibri"/>
                <w:kern w:val="32"/>
                <w:sz w:val="18"/>
                <w:szCs w:val="18"/>
                <w:lang w:eastAsia="en-US"/>
              </w:rPr>
              <w:t>9</w:t>
            </w:r>
            <w:bookmarkEnd w:id="510"/>
            <w:bookmarkEnd w:id="511"/>
            <w:bookmarkEnd w:id="512"/>
            <w:bookmarkEnd w:id="513"/>
            <w:bookmarkEnd w:id="51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5" w:name="_Toc476225370"/>
            <w:bookmarkStart w:id="516" w:name="_Toc485198305"/>
            <w:bookmarkStart w:id="517" w:name="_Toc536483761"/>
            <w:bookmarkStart w:id="518" w:name="_Toc536567227"/>
            <w:bookmarkStart w:id="519" w:name="_Toc5779086"/>
            <w:r w:rsidRPr="00BB1F38">
              <w:rPr>
                <w:rFonts w:eastAsia="Calibri"/>
                <w:kern w:val="32"/>
                <w:sz w:val="18"/>
                <w:szCs w:val="18"/>
                <w:lang w:eastAsia="en-US"/>
              </w:rPr>
              <w:t>10</w:t>
            </w:r>
            <w:bookmarkEnd w:id="515"/>
            <w:bookmarkEnd w:id="516"/>
            <w:bookmarkEnd w:id="517"/>
            <w:bookmarkEnd w:id="518"/>
            <w:bookmarkEnd w:id="51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0" w:name="_Toc476225371"/>
            <w:bookmarkStart w:id="521" w:name="_Toc485198306"/>
            <w:bookmarkStart w:id="522" w:name="_Toc536483762"/>
            <w:bookmarkStart w:id="523" w:name="_Toc536567228"/>
            <w:bookmarkStart w:id="524" w:name="_Toc5779087"/>
            <w:r w:rsidRPr="00BB1F38">
              <w:rPr>
                <w:rFonts w:eastAsia="Calibri"/>
                <w:kern w:val="32"/>
                <w:sz w:val="18"/>
                <w:szCs w:val="18"/>
                <w:lang w:eastAsia="en-US"/>
              </w:rPr>
              <w:t>11</w:t>
            </w:r>
            <w:bookmarkEnd w:id="520"/>
            <w:bookmarkEnd w:id="521"/>
            <w:bookmarkEnd w:id="522"/>
            <w:bookmarkEnd w:id="523"/>
            <w:bookmarkEnd w:id="52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25" w:name="_Toc476225372"/>
            <w:bookmarkStart w:id="526" w:name="_Toc485198307"/>
            <w:bookmarkStart w:id="527" w:name="_Toc536483763"/>
            <w:bookmarkStart w:id="528" w:name="_Toc536567229"/>
            <w:bookmarkStart w:id="529" w:name="_Toc5779088"/>
            <w:r w:rsidRPr="00315EBE">
              <w:rPr>
                <w:rFonts w:eastAsia="Calibri"/>
                <w:kern w:val="32"/>
                <w:sz w:val="18"/>
                <w:szCs w:val="18"/>
                <w:lang w:eastAsia="en-US"/>
              </w:rPr>
              <w:t>12</w:t>
            </w:r>
            <w:bookmarkEnd w:id="525"/>
            <w:bookmarkEnd w:id="526"/>
            <w:bookmarkEnd w:id="527"/>
            <w:bookmarkEnd w:id="528"/>
            <w:bookmarkEnd w:id="52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30" w:name="_Toc536483764"/>
            <w:bookmarkStart w:id="531" w:name="_Toc536567230"/>
            <w:bookmarkStart w:id="532" w:name="_Toc5779089"/>
            <w:r w:rsidRPr="00315EBE">
              <w:rPr>
                <w:rFonts w:eastAsia="Calibri"/>
                <w:kern w:val="32"/>
                <w:sz w:val="18"/>
                <w:szCs w:val="18"/>
                <w:lang w:eastAsia="en-US"/>
              </w:rPr>
              <w:t>13</w:t>
            </w:r>
            <w:bookmarkEnd w:id="530"/>
            <w:bookmarkEnd w:id="531"/>
            <w:bookmarkEnd w:id="53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536483765"/>
            <w:bookmarkStart w:id="534" w:name="_Toc536567231"/>
            <w:bookmarkStart w:id="535" w:name="_Toc5779090"/>
            <w:r>
              <w:rPr>
                <w:rFonts w:eastAsia="Calibri"/>
                <w:kern w:val="32"/>
                <w:sz w:val="18"/>
                <w:szCs w:val="18"/>
                <w:lang w:eastAsia="en-US"/>
              </w:rPr>
              <w:t>14</w:t>
            </w:r>
            <w:bookmarkEnd w:id="533"/>
            <w:bookmarkEnd w:id="534"/>
            <w:bookmarkEnd w:id="53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6" w:name="_Toc536483766"/>
            <w:bookmarkStart w:id="537" w:name="_Toc536567232"/>
            <w:bookmarkStart w:id="538" w:name="_Toc5779091"/>
            <w:r>
              <w:rPr>
                <w:rFonts w:eastAsia="Calibri"/>
                <w:kern w:val="32"/>
                <w:sz w:val="18"/>
                <w:szCs w:val="18"/>
                <w:lang w:eastAsia="en-US"/>
              </w:rPr>
              <w:t>15</w:t>
            </w:r>
            <w:bookmarkEnd w:id="536"/>
            <w:bookmarkEnd w:id="537"/>
            <w:bookmarkEnd w:id="53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39" w:name="_Toc476225375"/>
      <w:bookmarkStart w:id="540" w:name="_Toc485198310"/>
      <w:bookmarkStart w:id="541" w:name="_Toc536483767"/>
      <w:bookmarkStart w:id="542" w:name="_Toc536567233"/>
      <w:bookmarkStart w:id="543" w:name="_Toc5779092"/>
      <w:bookmarkEnd w:id="231"/>
      <w:r w:rsidRPr="00BB1F38">
        <w:rPr>
          <w:b/>
          <w:bCs/>
          <w:kern w:val="32"/>
          <w:sz w:val="18"/>
          <w:szCs w:val="18"/>
          <w:lang w:eastAsia="en-US"/>
        </w:rPr>
        <w:t>Инструкция по заполнению:</w:t>
      </w:r>
      <w:bookmarkEnd w:id="539"/>
      <w:bookmarkEnd w:id="540"/>
      <w:bookmarkEnd w:id="541"/>
      <w:bookmarkEnd w:id="542"/>
      <w:bookmarkEnd w:id="543"/>
    </w:p>
    <w:p w:rsidR="00313CEA" w:rsidRPr="00BB1F38" w:rsidRDefault="00313CEA" w:rsidP="00313CEA">
      <w:pPr>
        <w:keepNext/>
        <w:contextualSpacing/>
        <w:outlineLvl w:val="0"/>
        <w:rPr>
          <w:b/>
          <w:bCs/>
          <w:kern w:val="32"/>
          <w:sz w:val="18"/>
          <w:szCs w:val="18"/>
          <w:lang w:eastAsia="en-US"/>
        </w:rPr>
      </w:pPr>
      <w:bookmarkStart w:id="544" w:name="_Toc476225376"/>
      <w:bookmarkStart w:id="545" w:name="_Toc485198311"/>
      <w:bookmarkStart w:id="546" w:name="_Toc536483768"/>
      <w:bookmarkStart w:id="547" w:name="_Toc536567234"/>
      <w:bookmarkStart w:id="54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44"/>
      <w:bookmarkEnd w:id="545"/>
      <w:bookmarkEnd w:id="546"/>
      <w:bookmarkEnd w:id="547"/>
      <w:bookmarkEnd w:id="54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49" w:name="_Toc404866844"/>
    </w:p>
    <w:p w:rsidR="00313CEA" w:rsidRPr="00BB1F38" w:rsidRDefault="00313CEA" w:rsidP="00313CEA">
      <w:pPr>
        <w:keepNext/>
        <w:contextualSpacing/>
        <w:outlineLvl w:val="0"/>
        <w:rPr>
          <w:b/>
          <w:bCs/>
          <w:kern w:val="32"/>
          <w:sz w:val="18"/>
          <w:szCs w:val="18"/>
          <w:lang w:eastAsia="en-US"/>
        </w:rPr>
      </w:pPr>
      <w:bookmarkStart w:id="550" w:name="_Toc476225377"/>
      <w:bookmarkStart w:id="551" w:name="_Toc485198312"/>
      <w:bookmarkStart w:id="552" w:name="_Toc536483769"/>
      <w:bookmarkStart w:id="553" w:name="_Toc536567235"/>
      <w:bookmarkStart w:id="554" w:name="_Toc5779094"/>
      <w:r w:rsidRPr="00BB1F38">
        <w:rPr>
          <w:b/>
          <w:bCs/>
          <w:kern w:val="32"/>
          <w:sz w:val="18"/>
          <w:szCs w:val="18"/>
          <w:lang w:eastAsia="en-US"/>
        </w:rPr>
        <w:t>Условия раскрытия информации до конечного бенефициара</w:t>
      </w:r>
      <w:bookmarkEnd w:id="549"/>
      <w:bookmarkEnd w:id="550"/>
      <w:bookmarkEnd w:id="551"/>
      <w:bookmarkEnd w:id="552"/>
      <w:bookmarkEnd w:id="553"/>
      <w:bookmarkEnd w:id="55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55" w:name="_Toc404866845"/>
      <w:bookmarkStart w:id="55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57" w:name="_Toc476225378"/>
      <w:bookmarkStart w:id="558" w:name="_Toc485198313"/>
      <w:bookmarkStart w:id="559" w:name="_Toc536483770"/>
      <w:bookmarkStart w:id="560" w:name="_Toc536567236"/>
      <w:bookmarkStart w:id="561" w:name="_Toc5779095"/>
      <w:r w:rsidRPr="00BB1F38">
        <w:rPr>
          <w:b/>
          <w:bCs/>
          <w:kern w:val="32"/>
          <w:sz w:val="20"/>
          <w:lang w:eastAsia="en-US"/>
        </w:rPr>
        <w:t>Правила заполнения листа «Данные контрагента».</w:t>
      </w:r>
      <w:bookmarkEnd w:id="555"/>
      <w:bookmarkEnd w:id="557"/>
      <w:bookmarkEnd w:id="558"/>
      <w:bookmarkEnd w:id="559"/>
      <w:bookmarkEnd w:id="560"/>
      <w:bookmarkEnd w:id="56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5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62" w:name="_Toc404866846"/>
    </w:p>
    <w:p w:rsidR="00313CEA" w:rsidRPr="00BB1F38" w:rsidRDefault="00313CEA" w:rsidP="00313CEA">
      <w:pPr>
        <w:keepNext/>
        <w:tabs>
          <w:tab w:val="left" w:pos="426"/>
        </w:tabs>
        <w:contextualSpacing/>
        <w:outlineLvl w:val="0"/>
        <w:rPr>
          <w:b/>
          <w:bCs/>
          <w:kern w:val="32"/>
          <w:sz w:val="20"/>
          <w:lang w:eastAsia="en-US"/>
        </w:rPr>
      </w:pPr>
      <w:bookmarkStart w:id="563" w:name="_Toc476225379"/>
      <w:bookmarkStart w:id="564" w:name="_Toc485198314"/>
      <w:bookmarkStart w:id="565" w:name="_Toc536483771"/>
      <w:bookmarkStart w:id="566" w:name="_Toc536567237"/>
      <w:bookmarkStart w:id="567" w:name="_Toc5779096"/>
      <w:r w:rsidRPr="00BB1F38">
        <w:rPr>
          <w:b/>
          <w:bCs/>
          <w:kern w:val="32"/>
          <w:sz w:val="20"/>
          <w:lang w:eastAsia="en-US"/>
        </w:rPr>
        <w:t>Правила заполнения листа «Данные о собственниках»</w:t>
      </w:r>
      <w:bookmarkEnd w:id="562"/>
      <w:bookmarkEnd w:id="563"/>
      <w:bookmarkEnd w:id="564"/>
      <w:bookmarkEnd w:id="565"/>
      <w:bookmarkEnd w:id="566"/>
      <w:bookmarkEnd w:id="56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7E7B1D" w:rsidRDefault="007E7B1D" w:rsidP="00313CEA">
      <w:pPr>
        <w:sectPr w:rsidR="007E7B1D"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68" w:name="_Toc536483772"/>
      <w:bookmarkStart w:id="569"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68"/>
      <w:bookmarkEnd w:id="569"/>
    </w:p>
    <w:p w:rsidR="00ED153E" w:rsidRDefault="00ED153E" w:rsidP="00ED153E">
      <w:pPr>
        <w:jc w:val="center"/>
      </w:pPr>
      <w:bookmarkStart w:id="57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71" w:name="_Toc536567239"/>
      <w:bookmarkStart w:id="572" w:name="_Toc5779098"/>
      <w:r w:rsidRPr="00315EBE">
        <w:rPr>
          <w:b/>
          <w:snapToGrid w:val="0"/>
          <w:sz w:val="26"/>
          <w:szCs w:val="26"/>
        </w:rPr>
        <w:t>Согласие на обработку персональных данных</w:t>
      </w:r>
      <w:bookmarkEnd w:id="570"/>
      <w:bookmarkEnd w:id="571"/>
      <w:bookmarkEnd w:id="57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7E7B1D" w:rsidRDefault="00313CEA" w:rsidP="00313CEA">
      <w:pPr>
        <w:sectPr w:rsidR="007E7B1D" w:rsidSect="007E7B1D">
          <w:pgSz w:w="11906" w:h="16838" w:code="9"/>
          <w:pgMar w:top="902" w:right="567" w:bottom="1077" w:left="1134" w:header="709" w:footer="709" w:gutter="0"/>
          <w:cols w:space="708"/>
          <w:titlePg/>
          <w:docGrid w:linePitch="360"/>
        </w:sectPr>
      </w:pPr>
      <w:r>
        <w:br w:type="page"/>
      </w:r>
    </w:p>
    <w:p w:rsidR="00ED153E" w:rsidRPr="00E63DC9" w:rsidRDefault="00ED153E" w:rsidP="00ED153E">
      <w:pPr>
        <w:pStyle w:val="21"/>
        <w:keepNext w:val="0"/>
        <w:widowControl w:val="0"/>
        <w:tabs>
          <w:tab w:val="clear" w:pos="576"/>
        </w:tabs>
        <w:spacing w:after="0"/>
        <w:ind w:left="0" w:firstLine="0"/>
        <w:rPr>
          <w:sz w:val="24"/>
          <w:szCs w:val="24"/>
        </w:rPr>
      </w:pPr>
      <w:bookmarkStart w:id="573" w:name="_Toc507418007"/>
      <w:bookmarkStart w:id="574" w:name="_Toc475438335"/>
      <w:bookmarkStart w:id="575" w:name="_Toc436140129"/>
      <w:bookmarkStart w:id="576" w:name="_Toc536483790"/>
      <w:bookmarkStart w:id="577" w:name="_Toc5779115"/>
      <w:bookmarkStart w:id="578" w:name="_Toc367190486"/>
      <w:r w:rsidRPr="00E63DC9">
        <w:rPr>
          <w:sz w:val="24"/>
          <w:szCs w:val="24"/>
        </w:rPr>
        <w:t>ФОРМА 1</w:t>
      </w:r>
      <w:r w:rsidR="007E7B1D">
        <w:rPr>
          <w:sz w:val="24"/>
          <w:szCs w:val="24"/>
        </w:rPr>
        <w:t>0</w:t>
      </w:r>
      <w:r w:rsidRPr="00E63DC9">
        <w:rPr>
          <w:sz w:val="24"/>
          <w:szCs w:val="24"/>
        </w:rPr>
        <w:t>. СВОДНАЯ ТАБЛИЦА СТОИМОСТИ ПОСТАВОК, РАБОТ (УСЛУГ)</w:t>
      </w:r>
      <w:bookmarkEnd w:id="573"/>
      <w:bookmarkEnd w:id="574"/>
      <w:bookmarkEnd w:id="575"/>
      <w:bookmarkEnd w:id="576"/>
      <w:bookmarkEnd w:id="577"/>
      <w:bookmarkEnd w:id="578"/>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579" w:name="_Toc476225309"/>
      <w:bookmarkStart w:id="580"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9"/>
      <w:bookmarkEnd w:id="580"/>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581" w:name="_Toc476225310"/>
      <w:bookmarkStart w:id="582"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81"/>
      <w:bookmarkEnd w:id="582"/>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583" w:name="_Toc476225311"/>
      <w:bookmarkStart w:id="584" w:name="_Toc485198246"/>
      <w:r w:rsidRPr="00E63DC9">
        <w:t>М.П.  (Должность, подпись и ФИО уполномоченного представителя Участника)__________________________________________________</w:t>
      </w:r>
      <w:bookmarkEnd w:id="583"/>
      <w:bookmarkEnd w:id="584"/>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585" w:name="_Toc476225312"/>
      <w:bookmarkStart w:id="586" w:name="_Toc485198247"/>
      <w:r w:rsidRPr="00E63DC9">
        <w:rPr>
          <w:b/>
          <w:sz w:val="20"/>
        </w:rPr>
        <w:t>Инструкция по заполнению:</w:t>
      </w:r>
      <w:bookmarkEnd w:id="585"/>
      <w:bookmarkEnd w:id="586"/>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7E7B1D">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87" w:name="_Toc166101237"/>
      <w:bookmarkStart w:id="588" w:name="_Ref166247657"/>
      <w:bookmarkStart w:id="589" w:name="_Ref166247661"/>
      <w:bookmarkStart w:id="590" w:name="_Ref166249240"/>
      <w:bookmarkStart w:id="591" w:name="_Ref166249243"/>
      <w:bookmarkStart w:id="592" w:name="_Ref166311450"/>
      <w:bookmarkStart w:id="593" w:name="_Ref166311452"/>
      <w:bookmarkStart w:id="594" w:name="_Ref166334805"/>
      <w:bookmarkStart w:id="595" w:name="_Ref166334809"/>
      <w:bookmarkStart w:id="596" w:name="_Toc291689566"/>
      <w:bookmarkStart w:id="597" w:name="_Toc5779116"/>
      <w:r w:rsidRPr="00C70643">
        <w:rPr>
          <w:rStyle w:val="15"/>
          <w:b/>
          <w:caps/>
          <w:sz w:val="28"/>
          <w:szCs w:val="28"/>
        </w:rPr>
        <w:t>ПРОЕКТ ДОГОВОРА</w:t>
      </w:r>
      <w:bookmarkEnd w:id="587"/>
      <w:bookmarkEnd w:id="588"/>
      <w:bookmarkEnd w:id="589"/>
      <w:bookmarkEnd w:id="590"/>
      <w:bookmarkEnd w:id="591"/>
      <w:bookmarkEnd w:id="592"/>
      <w:bookmarkEnd w:id="593"/>
      <w:bookmarkEnd w:id="594"/>
      <w:bookmarkEnd w:id="595"/>
      <w:bookmarkEnd w:id="596"/>
      <w:bookmarkEnd w:id="597"/>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598" w:name="_Toc166101238"/>
      <w:bookmarkStart w:id="599" w:name="_Ref166247676"/>
      <w:bookmarkStart w:id="600" w:name="_Toc291689567"/>
      <w:bookmarkStart w:id="601" w:name="_Toc5779117"/>
      <w:bookmarkEnd w:id="598"/>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9"/>
      <w:bookmarkEnd w:id="600"/>
      <w:bookmarkEnd w:id="601"/>
    </w:p>
    <w:p w:rsidR="00931976" w:rsidRPr="00931976" w:rsidRDefault="00931976" w:rsidP="00931976"/>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61E" w:rsidRDefault="00DD661E">
      <w:r>
        <w:separator/>
      </w:r>
    </w:p>
    <w:p w:rsidR="00DD661E" w:rsidRDefault="00DD661E"/>
  </w:endnote>
  <w:endnote w:type="continuationSeparator" w:id="0">
    <w:p w:rsidR="00DD661E" w:rsidRDefault="00DD661E">
      <w:r>
        <w:continuationSeparator/>
      </w:r>
    </w:p>
    <w:p w:rsidR="00DD661E" w:rsidRDefault="00DD66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A4CE8">
      <w:rPr>
        <w:rStyle w:val="aff"/>
        <w:noProof/>
      </w:rPr>
      <w:t>33</w:t>
    </w:r>
    <w:r>
      <w:rPr>
        <w:rStyle w:val="aff"/>
      </w:rPr>
      <w:fldChar w:fldCharType="end"/>
    </w:r>
  </w:p>
  <w:p w:rsidR="00CE473F" w:rsidRDefault="00CE473F">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CE473F" w:rsidRDefault="00CE473F">
        <w:pPr>
          <w:pStyle w:val="aff0"/>
          <w:jc w:val="right"/>
        </w:pPr>
        <w:r>
          <w:fldChar w:fldCharType="begin"/>
        </w:r>
        <w:r>
          <w:instrText>PAGE   \* MERGEFORMAT</w:instrText>
        </w:r>
        <w:r>
          <w:fldChar w:fldCharType="separate"/>
        </w:r>
        <w:r w:rsidR="00DD661E">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3F" w:rsidRDefault="00CE473F">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A4CE8">
      <w:rPr>
        <w:rStyle w:val="aff"/>
        <w:noProof/>
      </w:rPr>
      <w:t>60</w:t>
    </w:r>
    <w:r>
      <w:rPr>
        <w:rStyle w:val="aff"/>
      </w:rPr>
      <w:fldChar w:fldCharType="end"/>
    </w:r>
  </w:p>
  <w:p w:rsidR="00CE473F" w:rsidRDefault="00CE473F">
    <w:pPr>
      <w:pStyle w:val="aff0"/>
      <w:tabs>
        <w:tab w:val="right" w:pos="9840"/>
      </w:tabs>
      <w:ind w:right="360"/>
      <w:jc w:val="center"/>
    </w:pPr>
  </w:p>
  <w:p w:rsidR="00CE473F" w:rsidRDefault="00CE47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61E" w:rsidRDefault="00DD661E">
      <w:r>
        <w:separator/>
      </w:r>
    </w:p>
    <w:p w:rsidR="00DD661E" w:rsidRDefault="00DD661E"/>
  </w:footnote>
  <w:footnote w:type="continuationSeparator" w:id="0">
    <w:p w:rsidR="00DD661E" w:rsidRDefault="00DD661E">
      <w:r>
        <w:continuationSeparator/>
      </w:r>
    </w:p>
    <w:p w:rsidR="00DD661E" w:rsidRDefault="00DD661E"/>
  </w:footnote>
  <w:footnote w:id="1">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E473F" w:rsidRPr="00BB1F38" w:rsidRDefault="00CE473F"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E473F" w:rsidRDefault="00CE473F"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CE473F" w:rsidRPr="00500502" w:rsidRDefault="00CE473F"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02"/>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39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5E3"/>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17A"/>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0742"/>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02C"/>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4CE8"/>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99A"/>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4098"/>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64E1"/>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E78"/>
    <w:rsid w:val="006611D6"/>
    <w:rsid w:val="00661ED5"/>
    <w:rsid w:val="0066336F"/>
    <w:rsid w:val="00663870"/>
    <w:rsid w:val="00665F29"/>
    <w:rsid w:val="006661D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9D3"/>
    <w:rsid w:val="006D3685"/>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2F8"/>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E7B1D"/>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976"/>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8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0652"/>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6FCC"/>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1E4D"/>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4294"/>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14A"/>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D6D"/>
    <w:rsid w:val="00B77F34"/>
    <w:rsid w:val="00B80DE4"/>
    <w:rsid w:val="00B812B7"/>
    <w:rsid w:val="00B81325"/>
    <w:rsid w:val="00B81A42"/>
    <w:rsid w:val="00B82B9B"/>
    <w:rsid w:val="00B837E7"/>
    <w:rsid w:val="00B83E64"/>
    <w:rsid w:val="00B84115"/>
    <w:rsid w:val="00B84A66"/>
    <w:rsid w:val="00B84AFE"/>
    <w:rsid w:val="00B8603D"/>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01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2E9C"/>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473F"/>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0ED9"/>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349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5A"/>
    <w:rsid w:val="00DC59EE"/>
    <w:rsid w:val="00DC669E"/>
    <w:rsid w:val="00DC7A14"/>
    <w:rsid w:val="00DD04F2"/>
    <w:rsid w:val="00DD0DA5"/>
    <w:rsid w:val="00DD15D6"/>
    <w:rsid w:val="00DD1D22"/>
    <w:rsid w:val="00DD232D"/>
    <w:rsid w:val="00DD312E"/>
    <w:rsid w:val="00DD556E"/>
    <w:rsid w:val="00DD661E"/>
    <w:rsid w:val="00DD74A8"/>
    <w:rsid w:val="00DD7ADB"/>
    <w:rsid w:val="00DD7D78"/>
    <w:rsid w:val="00DE1D2E"/>
    <w:rsid w:val="00DE1E13"/>
    <w:rsid w:val="00DE2033"/>
    <w:rsid w:val="00DE2724"/>
    <w:rsid w:val="00DE3495"/>
    <w:rsid w:val="00DE44A8"/>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BB"/>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3E5A"/>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22B66-8E55-481C-8141-3C7F201DF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60</Pages>
  <Words>23832</Words>
  <Characters>135845</Characters>
  <Application>Microsoft Office Word</Application>
  <DocSecurity>0</DocSecurity>
  <Lines>1132</Lines>
  <Paragraphs>318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34</cp:revision>
  <cp:lastPrinted>2019-11-29T03:38:00Z</cp:lastPrinted>
  <dcterms:created xsi:type="dcterms:W3CDTF">2019-07-27T14:15:00Z</dcterms:created>
  <dcterms:modified xsi:type="dcterms:W3CDTF">2019-12-24T08:04:00Z</dcterms:modified>
</cp:coreProperties>
</file>