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14" w:type="dxa"/>
        <w:tblLayout w:type="fixed"/>
        <w:tblLook w:val="04A0" w:firstRow="1" w:lastRow="0" w:firstColumn="1" w:lastColumn="0" w:noHBand="0" w:noVBand="1"/>
      </w:tblPr>
      <w:tblGrid>
        <w:gridCol w:w="6062"/>
        <w:gridCol w:w="4252"/>
      </w:tblGrid>
      <w:tr w:rsidR="00F43262" w:rsidRPr="00F43262" w:rsidTr="00D818D0">
        <w:tc>
          <w:tcPr>
            <w:tcW w:w="6062" w:type="dxa"/>
            <w:hideMark/>
          </w:tcPr>
          <w:p w:rsidR="00B02BD2" w:rsidRDefault="00B02BD2" w:rsidP="00F4326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B02BD2" w:rsidRPr="00F43262" w:rsidRDefault="00B02BD2" w:rsidP="00F4326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  <w:tc>
          <w:tcPr>
            <w:tcW w:w="4252" w:type="dxa"/>
          </w:tcPr>
          <w:p w:rsidR="00B02BD2" w:rsidRDefault="00B02BD2" w:rsidP="00F43262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D818D0" w:rsidRPr="00D818D0" w:rsidRDefault="00D818D0" w:rsidP="00D818D0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818D0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D818D0" w:rsidRPr="00D818D0" w:rsidRDefault="00D818D0" w:rsidP="00D818D0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818D0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Начальник управления корпоративных и технологических автоматизированных систем управления</w:t>
            </w:r>
          </w:p>
          <w:p w:rsidR="00D818D0" w:rsidRPr="00D818D0" w:rsidRDefault="00D818D0" w:rsidP="00D818D0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818D0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____________ О.А. Мамонтова</w:t>
            </w:r>
          </w:p>
          <w:p w:rsidR="00D818D0" w:rsidRPr="00D818D0" w:rsidRDefault="00D818D0" w:rsidP="00D818D0">
            <w:pPr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D818D0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F43262" w:rsidRPr="00F43262" w:rsidRDefault="00F43262" w:rsidP="00D818D0">
            <w:pPr>
              <w:tabs>
                <w:tab w:val="left" w:pos="6804"/>
              </w:tabs>
              <w:autoSpaceDE w:val="0"/>
              <w:autoSpaceDN w:val="0"/>
              <w:adjustRightInd w:val="0"/>
              <w:ind w:left="-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F43262" w:rsidRPr="00F43262" w:rsidRDefault="00F43262" w:rsidP="00F43262">
      <w:pPr>
        <w:tabs>
          <w:tab w:val="left" w:pos="6804"/>
        </w:tabs>
        <w:autoSpaceDE w:val="0"/>
        <w:autoSpaceDN w:val="0"/>
        <w:adjustRightInd w:val="0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2941F7" w:rsidRPr="00F43262" w:rsidRDefault="00F43262" w:rsidP="00C135AB">
      <w:pPr>
        <w:autoSpaceDE w:val="0"/>
        <w:autoSpaceDN w:val="0"/>
        <w:adjustRightInd w:val="0"/>
        <w:ind w:firstLine="709"/>
        <w:jc w:val="center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на проведение закупки на </w:t>
      </w:r>
      <w:r w:rsidR="001117F2">
        <w:rPr>
          <w:rFonts w:ascii="Times New Roman CYR" w:eastAsia="Times New Roman" w:hAnsi="Times New Roman CYR" w:cs="Times New Roman CYR"/>
          <w:sz w:val="26"/>
          <w:szCs w:val="26"/>
        </w:rPr>
        <w:t>поставку</w:t>
      </w:r>
      <w:r w:rsidR="00A42DF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="003E3041" w:rsidRPr="003E3041">
        <w:rPr>
          <w:rFonts w:ascii="Times New Roman CYR" w:eastAsia="Times New Roman" w:hAnsi="Times New Roman CYR" w:cs="Times New Roman CYR"/>
          <w:sz w:val="26"/>
          <w:szCs w:val="26"/>
        </w:rPr>
        <w:t>оборудования</w:t>
      </w:r>
      <w:r w:rsidR="006C1C45">
        <w:rPr>
          <w:rFonts w:ascii="Times New Roman CYR" w:eastAsia="Times New Roman" w:hAnsi="Times New Roman CYR" w:cs="Times New Roman CYR"/>
          <w:sz w:val="26"/>
          <w:szCs w:val="26"/>
        </w:rPr>
        <w:t xml:space="preserve"> связи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1. Общие положения.</w:t>
      </w:r>
    </w:p>
    <w:p w:rsidR="00F43262" w:rsidRPr="00F43262" w:rsidRDefault="00C4743A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1.1 Заказчик: </w:t>
      </w:r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="00F43262" w:rsidRPr="00F43262">
        <w:rPr>
          <w:rFonts w:ascii="Times New Roman CYR" w:eastAsia="Times New Roman" w:hAnsi="Times New Roman CYR" w:cs="Times New Roman CYR"/>
          <w:sz w:val="26"/>
          <w:szCs w:val="26"/>
        </w:rPr>
        <w:t>».</w:t>
      </w:r>
    </w:p>
    <w:p w:rsidR="0084148D" w:rsidRDefault="00F43262" w:rsidP="00C4743A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1.2 Предмет закупки: </w:t>
      </w:r>
      <w:r w:rsidR="00A42DF1" w:rsidRPr="00A42DF1">
        <w:rPr>
          <w:rFonts w:ascii="Times New Roman CYR" w:eastAsia="Times New Roman" w:hAnsi="Times New Roman CYR" w:cs="Times New Roman CYR"/>
          <w:sz w:val="26"/>
          <w:szCs w:val="26"/>
        </w:rPr>
        <w:t xml:space="preserve">Поставка </w:t>
      </w:r>
      <w:r w:rsidR="003E3041" w:rsidRPr="003E3041">
        <w:rPr>
          <w:rFonts w:ascii="Times New Roman CYR" w:eastAsia="Times New Roman" w:hAnsi="Times New Roman CYR" w:cs="Times New Roman CYR"/>
          <w:sz w:val="26"/>
          <w:szCs w:val="26"/>
        </w:rPr>
        <w:t>оборудования</w:t>
      </w:r>
      <w:r w:rsidR="006C1C45">
        <w:rPr>
          <w:rFonts w:ascii="Times New Roman CYR" w:eastAsia="Times New Roman" w:hAnsi="Times New Roman CYR" w:cs="Times New Roman CYR"/>
          <w:sz w:val="26"/>
          <w:szCs w:val="26"/>
        </w:rPr>
        <w:t xml:space="preserve"> связи.</w:t>
      </w:r>
    </w:p>
    <w:p w:rsidR="00F43262" w:rsidRPr="00F43262" w:rsidRDefault="00F43262" w:rsidP="00C4743A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2. Место, срок и условия поставки.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2.1 Место поставки: г. Кызыл, Ул. </w:t>
      </w:r>
      <w:proofErr w:type="gramStart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>К</w:t>
      </w:r>
      <w:r w:rsidR="00910770">
        <w:rPr>
          <w:rFonts w:ascii="Times New Roman CYR" w:eastAsia="Times New Roman" w:hAnsi="Times New Roman CYR" w:cs="Times New Roman CYR"/>
          <w:sz w:val="26"/>
          <w:szCs w:val="26"/>
        </w:rPr>
        <w:t>олхозная</w:t>
      </w:r>
      <w:proofErr w:type="gramEnd"/>
      <w:r w:rsidR="00910770">
        <w:rPr>
          <w:rFonts w:ascii="Times New Roman CYR" w:eastAsia="Times New Roman" w:hAnsi="Times New Roman CYR" w:cs="Times New Roman CYR"/>
          <w:sz w:val="26"/>
          <w:szCs w:val="26"/>
        </w:rPr>
        <w:t xml:space="preserve"> 2, центральный склад 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АО </w:t>
      </w:r>
      <w:r w:rsidR="00241C8E">
        <w:rPr>
          <w:rFonts w:ascii="Times New Roman CYR" w:eastAsia="Times New Roman" w:hAnsi="Times New Roman CYR" w:cs="Times New Roman CYR"/>
          <w:sz w:val="26"/>
          <w:szCs w:val="26"/>
        </w:rPr>
        <w:t>«</w:t>
      </w:r>
      <w:proofErr w:type="spellStart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». 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2.2 Поставка продукции осуществляется транспортом поставщика</w:t>
      </w:r>
      <w:r w:rsidRPr="00F43262">
        <w:rPr>
          <w:rFonts w:ascii="Times New Roman CYR" w:eastAsia="Times New Roman" w:hAnsi="Times New Roman CYR" w:cs="Times New Roman CYR"/>
          <w:i/>
          <w:sz w:val="26"/>
          <w:szCs w:val="26"/>
        </w:rPr>
        <w:t xml:space="preserve">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до места поставки. </w:t>
      </w:r>
    </w:p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F43262" w:rsidRPr="00F43262" w:rsidRDefault="00F43262" w:rsidP="00D6748D">
      <w:pPr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2.3 Срок поставки: 30 календарных дней с момента заключения договора на поставку.</w:t>
      </w:r>
      <w:r w:rsidR="0010521E" w:rsidRPr="0010521E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3. Перечень и объемы поставки.</w:t>
      </w:r>
    </w:p>
    <w:tbl>
      <w:tblPr>
        <w:tblW w:w="104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555"/>
        <w:gridCol w:w="1706"/>
        <w:gridCol w:w="567"/>
        <w:gridCol w:w="567"/>
        <w:gridCol w:w="993"/>
        <w:gridCol w:w="991"/>
        <w:gridCol w:w="1134"/>
        <w:gridCol w:w="1275"/>
      </w:tblGrid>
      <w:tr w:rsidR="00536030" w:rsidRPr="006C1C45" w:rsidTr="00607985">
        <w:trPr>
          <w:trHeight w:val="510"/>
        </w:trPr>
        <w:tc>
          <w:tcPr>
            <w:tcW w:w="4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536030">
            <w:pPr>
              <w:ind w:left="-9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032C9" w:rsidRPr="006C1C45" w:rsidRDefault="00E032C9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032C9" w:rsidRPr="006C1C45" w:rsidRDefault="00E032C9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</w:t>
            </w:r>
          </w:p>
        </w:tc>
        <w:tc>
          <w:tcPr>
            <w:tcW w:w="155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17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 оборудования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BA31DD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3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 договора, руб.</w:t>
            </w:r>
          </w:p>
        </w:tc>
      </w:tr>
      <w:tr w:rsidR="00536030" w:rsidRPr="006C1C45" w:rsidTr="00607985">
        <w:trPr>
          <w:trHeight w:val="780"/>
        </w:trPr>
        <w:tc>
          <w:tcPr>
            <w:tcW w:w="4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6030" w:rsidRPr="006C1C45" w:rsidRDefault="00536030" w:rsidP="00C135A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с НДС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536030" w:rsidRPr="006C1C45" w:rsidTr="00607985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8E5F4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6030" w:rsidRPr="006C1C45" w:rsidRDefault="00536030" w:rsidP="00C135A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1C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F92322" w:rsidRPr="006C1C45" w:rsidTr="00607985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2322" w:rsidRPr="006C1C45" w:rsidRDefault="00F92322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92322" w:rsidRPr="00F92322" w:rsidRDefault="00F92322" w:rsidP="006C1C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4222310035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6C1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sz w:val="20"/>
                <w:szCs w:val="20"/>
              </w:rPr>
              <w:t xml:space="preserve">Контроллер ВТ-6062 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6C1C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6C1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6C1C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A54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sz w:val="20"/>
                <w:szCs w:val="20"/>
              </w:rPr>
              <w:t>27861,95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607985" w:rsidP="00A548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33 434,34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A548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sz w:val="20"/>
                <w:szCs w:val="20"/>
              </w:rPr>
              <w:t>529377,05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607985" w:rsidP="00A5488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635 252,46</w:t>
            </w:r>
          </w:p>
        </w:tc>
      </w:tr>
      <w:tr w:rsidR="00F92322" w:rsidRPr="006C1C45" w:rsidTr="00607985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2322" w:rsidRPr="006C1C45" w:rsidRDefault="00F92322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92322" w:rsidRPr="00F92322" w:rsidRDefault="00F92322" w:rsidP="006C1C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sz w:val="20"/>
                <w:szCs w:val="20"/>
              </w:rPr>
              <w:t>6577400047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6C1C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Антенна GSM 900/1800МГц,3.5дБ,FME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6C1C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6C1C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AE0F38" w:rsidP="006C1C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A54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286,00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607985" w:rsidP="00A54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343,20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A548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sz w:val="20"/>
                <w:szCs w:val="20"/>
              </w:rPr>
              <w:t>5434,00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607985" w:rsidP="00A548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6520,80</w:t>
            </w:r>
          </w:p>
        </w:tc>
      </w:tr>
      <w:tr w:rsidR="00F92322" w:rsidRPr="006C1C45" w:rsidTr="00607985">
        <w:trPr>
          <w:trHeight w:val="315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92322" w:rsidRPr="006C1C45" w:rsidRDefault="00F92322" w:rsidP="008E5F47">
            <w:pPr>
              <w:pStyle w:val="af1"/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92322" w:rsidRPr="00F92322" w:rsidRDefault="00F92322" w:rsidP="006C1C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4372910043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F923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Шкаф монтажный ТШ-3 с обогревом</w:t>
            </w:r>
          </w:p>
          <w:p w:rsidR="00F92322" w:rsidRPr="00F92322" w:rsidRDefault="00F92322" w:rsidP="006C1C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6C1C4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6C1C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gramEnd"/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AE0F38" w:rsidP="006C1C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A54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24029,25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607985" w:rsidP="00A54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28835,10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F92322" w:rsidP="00A548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2322">
              <w:rPr>
                <w:rFonts w:ascii="Times New Roman" w:hAnsi="Times New Roman" w:cs="Times New Roman"/>
                <w:sz w:val="20"/>
                <w:szCs w:val="20"/>
              </w:rPr>
              <w:t>456555,75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92322" w:rsidRPr="00F92322" w:rsidRDefault="00607985" w:rsidP="00A548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547866,90</w:t>
            </w:r>
          </w:p>
        </w:tc>
      </w:tr>
      <w:tr w:rsidR="00F92322" w:rsidRPr="006C1C45" w:rsidTr="00607985">
        <w:trPr>
          <w:trHeight w:val="510"/>
        </w:trPr>
        <w:tc>
          <w:tcPr>
            <w:tcW w:w="80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92322" w:rsidRPr="006C1C45" w:rsidRDefault="00F92322" w:rsidP="00C233EA">
            <w:pPr>
              <w:ind w:left="460" w:hanging="2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</w:t>
            </w:r>
            <w:r w:rsidRPr="006C1C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того планируемая (предельная) цена закупки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2322" w:rsidRPr="000019B1" w:rsidRDefault="00F92322" w:rsidP="00A54884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019B1">
              <w:rPr>
                <w:rFonts w:ascii="Times New Roman" w:hAnsi="Times New Roman" w:cs="Times New Roman"/>
                <w:b/>
                <w:sz w:val="20"/>
                <w:szCs w:val="20"/>
              </w:rPr>
              <w:t>991366,80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92322" w:rsidRPr="000019B1" w:rsidRDefault="00607985" w:rsidP="00A54884">
            <w:pPr>
              <w:ind w:left="-108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1 189 640,16</w:t>
            </w:r>
          </w:p>
        </w:tc>
      </w:tr>
    </w:tbl>
    <w:p w:rsidR="00F43262" w:rsidRP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F43262" w:rsidRDefault="00F43262" w:rsidP="00C135A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F43262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F43262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F43262">
        <w:rPr>
          <w:rFonts w:ascii="Times New Roman CYR" w:eastAsia="Times New Roman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F43262" w:rsidRPr="00F43262" w:rsidRDefault="00F43262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916B27" w:rsidRPr="00916B27" w:rsidRDefault="00916B27" w:rsidP="00916B27">
      <w:pPr>
        <w:pStyle w:val="af1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 w:rsidRPr="00916B27">
        <w:rPr>
          <w:rFonts w:ascii="Times New Roman CYR" w:hAnsi="Times New Roman CYR" w:cs="Times New Roman CYR"/>
          <w:b/>
          <w:bCs/>
          <w:sz w:val="26"/>
          <w:szCs w:val="26"/>
        </w:rPr>
        <w:t>Общие технические требования к поставляемой продукции.</w:t>
      </w:r>
    </w:p>
    <w:p w:rsidR="00916B27" w:rsidRPr="00916B27" w:rsidRDefault="00916B27" w:rsidP="00916B27">
      <w:pPr>
        <w:pStyle w:val="af1"/>
        <w:widowControl w:val="0"/>
        <w:numPr>
          <w:ilvl w:val="1"/>
          <w:numId w:val="11"/>
        </w:numPr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left="0" w:firstLine="710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lastRenderedPageBreak/>
        <w:t xml:space="preserve"> </w:t>
      </w:r>
      <w:r w:rsidRPr="00916B27">
        <w:rPr>
          <w:rFonts w:ascii="Times New Roman CYR" w:hAnsi="Times New Roman CYR" w:cs="Times New Roman CYR"/>
          <w:sz w:val="26"/>
          <w:szCs w:val="26"/>
        </w:rPr>
        <w:t>Технические требования к поставляемой продукции указаны в Приложении 1к настоящему техническому заданию</w:t>
      </w:r>
    </w:p>
    <w:p w:rsidR="00916B27" w:rsidRPr="00916B27" w:rsidRDefault="00916B27" w:rsidP="00916B27">
      <w:pPr>
        <w:pStyle w:val="af1"/>
        <w:widowControl w:val="0"/>
        <w:tabs>
          <w:tab w:val="left" w:pos="709"/>
          <w:tab w:val="left" w:pos="993"/>
          <w:tab w:val="center" w:pos="1276"/>
          <w:tab w:val="right" w:pos="8306"/>
        </w:tabs>
        <w:autoSpaceDE w:val="0"/>
        <w:autoSpaceDN w:val="0"/>
        <w:adjustRightInd w:val="0"/>
        <w:ind w:left="710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4.2.. </w:t>
      </w:r>
      <w:r w:rsidRPr="00916B27">
        <w:rPr>
          <w:rFonts w:ascii="Times New Roman CYR" w:hAnsi="Times New Roman CYR" w:cs="Times New Roman CYR"/>
          <w:sz w:val="26"/>
          <w:szCs w:val="26"/>
        </w:rPr>
        <w:t>Поставляемая продукция должна быть изготовлена в год поставки или предшествующий ему и быть ранее не использованной;</w:t>
      </w:r>
    </w:p>
    <w:p w:rsidR="00916B27" w:rsidRPr="00916B27" w:rsidRDefault="00916B27" w:rsidP="00916B27">
      <w:pPr>
        <w:pStyle w:val="af1"/>
        <w:widowControl w:val="0"/>
        <w:numPr>
          <w:ilvl w:val="1"/>
          <w:numId w:val="11"/>
        </w:numPr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ind w:left="0"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916B27">
        <w:rPr>
          <w:rFonts w:ascii="Times New Roman CYR" w:hAnsi="Times New Roman CYR" w:cs="Times New Roman CYR"/>
          <w:sz w:val="26"/>
          <w:szCs w:val="26"/>
        </w:rPr>
        <w:t>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 и эксплуатации.</w:t>
      </w:r>
    </w:p>
    <w:p w:rsidR="00916B27" w:rsidRPr="00516196" w:rsidRDefault="00916B27" w:rsidP="00916B27">
      <w:pPr>
        <w:autoSpaceDE w:val="0"/>
        <w:autoSpaceDN w:val="0"/>
        <w:adjustRightInd w:val="0"/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4.4.  Вся сопроводительная документация должна быть составлена на русском языке и передана покупателю вместе с поставляемой продукцией.</w:t>
      </w:r>
    </w:p>
    <w:p w:rsidR="00916B27" w:rsidRPr="00516196" w:rsidRDefault="00916B27" w:rsidP="00916B27">
      <w:pPr>
        <w:ind w:firstLine="708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4.5. 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916B27" w:rsidRPr="00516196" w:rsidRDefault="00916B27" w:rsidP="00916B27">
      <w:pPr>
        <w:numPr>
          <w:ilvl w:val="1"/>
          <w:numId w:val="10"/>
        </w:numPr>
        <w:autoSpaceDE w:val="0"/>
        <w:autoSpaceDN w:val="0"/>
        <w:adjustRightInd w:val="0"/>
        <w:ind w:left="0" w:firstLine="708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Характеристики и требования к поставляемому оборудованию представлены в приложении 1 к настоящему техническому заданию (в таблице поставщиком заполняется графа предлагаемые технические характеристики, изменение и удаление, установленных в приложении 1 требований не допускается). </w:t>
      </w:r>
    </w:p>
    <w:p w:rsidR="00916B27" w:rsidRPr="00516196" w:rsidRDefault="00916B27" w:rsidP="00916B27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Предлагаемые к поставке материалы, изделия, конструкций и оборудование, должны соответствовать требованиям приложения 1 к настоящему ТЗ и действующим в РФ нормативным документам.</w:t>
      </w:r>
    </w:p>
    <w:p w:rsidR="00916B27" w:rsidRPr="00516196" w:rsidRDefault="00916B27" w:rsidP="00916B27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поставщика (без заполнения столбца таблицы).</w:t>
      </w:r>
    </w:p>
    <w:p w:rsidR="00916B27" w:rsidRPr="00394E43" w:rsidRDefault="00916B27" w:rsidP="00394E43">
      <w:pPr>
        <w:pStyle w:val="af1"/>
        <w:numPr>
          <w:ilvl w:val="1"/>
          <w:numId w:val="10"/>
        </w:numPr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394E43">
        <w:rPr>
          <w:rFonts w:ascii="Times New Roman CYR" w:hAnsi="Times New Roman CYR" w:cs="Times New Roman CYR"/>
          <w:color w:val="000000"/>
          <w:sz w:val="26"/>
          <w:szCs w:val="26"/>
        </w:rPr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394E43" w:rsidRPr="00394E43" w:rsidRDefault="00394E43" w:rsidP="00394E43">
      <w:pPr>
        <w:autoSpaceDE w:val="0"/>
        <w:autoSpaceDN w:val="0"/>
        <w:adjustRightInd w:val="0"/>
        <w:ind w:left="708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F41BB5" w:rsidRPr="00516196" w:rsidRDefault="00F41BB5" w:rsidP="00F41BB5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b/>
          <w:color w:val="000000"/>
          <w:sz w:val="26"/>
          <w:szCs w:val="26"/>
          <w:lang w:eastAsia="ru-RU"/>
        </w:rPr>
        <w:t>Требования к объему документации, предоставляемой участником закупок для оценки предложения по лоту.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Участник обязан представить следующие документы, подтверждающие соответствие продукции установленным требованиям: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5.1. Заключение об аттестации в ПАО «</w:t>
      </w:r>
      <w:proofErr w:type="spellStart"/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Россети</w:t>
      </w:r>
      <w:proofErr w:type="spellEnd"/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 (ПАО «ФСК ЕЭС») (полнотекстовый документ);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5.2. Российские сертификаты (декларации) соответствия требованиям ГОСТ </w:t>
      </w:r>
      <w:proofErr w:type="gramStart"/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Р</w:t>
      </w:r>
      <w:proofErr w:type="gramEnd"/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 (ГОСТ или ТУ (с приложением данных ТУ)) и безопасности;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5.3. Протоколы испытаний, указанные в сертификате (декларации);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5.4.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F41BB5" w:rsidRDefault="00F41BB5" w:rsidP="00F41BB5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5.6. Документацию по монтажу и эксплуатации на русском языке</w:t>
      </w:r>
    </w:p>
    <w:p w:rsidR="00394E43" w:rsidRPr="00516196" w:rsidRDefault="00394E43" w:rsidP="00F41BB5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  <w:lang w:eastAsia="ru-RU"/>
        </w:rPr>
      </w:pP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516196">
        <w:rPr>
          <w:rFonts w:ascii="Times New Roman CYR" w:eastAsia="Times New Roman" w:hAnsi="Times New Roman CYR" w:cs="Times New Roman CYR"/>
          <w:b/>
          <w:sz w:val="26"/>
          <w:szCs w:val="26"/>
        </w:rPr>
        <w:t>6.</w:t>
      </w: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  </w:t>
      </w:r>
      <w:r w:rsidRPr="00516196">
        <w:rPr>
          <w:rFonts w:ascii="Times New Roman CYR" w:eastAsia="Times New Roman" w:hAnsi="Times New Roman CYR" w:cs="Times New Roman CYR"/>
          <w:b/>
          <w:sz w:val="26"/>
          <w:szCs w:val="26"/>
        </w:rPr>
        <w:t>Гарантийные обязательства.</w:t>
      </w:r>
    </w:p>
    <w:p w:rsidR="00F41BB5" w:rsidRPr="00F41BB5" w:rsidRDefault="00F41BB5" w:rsidP="00F41BB5">
      <w:pPr>
        <w:pStyle w:val="af1"/>
        <w:numPr>
          <w:ilvl w:val="1"/>
          <w:numId w:val="13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F41BB5">
        <w:rPr>
          <w:rFonts w:ascii="Times New Roman CYR" w:hAnsi="Times New Roman CYR" w:cs="Times New Roman CYR"/>
          <w:sz w:val="26"/>
          <w:szCs w:val="26"/>
        </w:rPr>
        <w:t xml:space="preserve">Срок гарантии должен составлять не менее 60 месяцев или больше, если это предусмотрено производителем. Время начала исчисления гарантийного срока – с момента ввода оборудования в эксплуатацию. </w:t>
      </w:r>
    </w:p>
    <w:p w:rsidR="00F41BB5" w:rsidRPr="00F41BB5" w:rsidRDefault="00F41BB5" w:rsidP="00F41BB5">
      <w:pPr>
        <w:pStyle w:val="af1"/>
        <w:numPr>
          <w:ilvl w:val="1"/>
          <w:numId w:val="13"/>
        </w:numPr>
        <w:autoSpaceDE w:val="0"/>
        <w:autoSpaceDN w:val="0"/>
        <w:adjustRightInd w:val="0"/>
        <w:ind w:left="0" w:firstLine="709"/>
        <w:contextualSpacing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F41BB5">
        <w:rPr>
          <w:rFonts w:ascii="Times New Roman CYR" w:hAnsi="Times New Roman CYR" w:cs="Times New Roman CYR"/>
          <w:sz w:val="26"/>
          <w:szCs w:val="26"/>
        </w:rPr>
        <w:t>Поставщик должен за свой счет и сроки, согласованные с покупателем, устранять любые дефекты в поставляемом оборудовании, материалах, выявленные в течение гарантийного срока.</w:t>
      </w:r>
    </w:p>
    <w:p w:rsidR="00F41BB5" w:rsidRDefault="00F41BB5" w:rsidP="00F41BB5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F41BB5" w:rsidRPr="00516196" w:rsidRDefault="00F41BB5" w:rsidP="00F41BB5">
      <w:pPr>
        <w:tabs>
          <w:tab w:val="left" w:pos="0"/>
          <w:tab w:val="left" w:pos="993"/>
          <w:tab w:val="left" w:pos="1134"/>
        </w:tabs>
        <w:ind w:firstLine="709"/>
        <w:contextualSpacing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516196"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>7. Правила приемки</w:t>
      </w:r>
      <w:r>
        <w:rPr>
          <w:rFonts w:ascii="Times New Roman CYR" w:eastAsia="Times New Roman" w:hAnsi="Times New Roman CYR" w:cs="Times New Roman CYR"/>
          <w:b/>
          <w:sz w:val="26"/>
          <w:szCs w:val="26"/>
        </w:rPr>
        <w:t xml:space="preserve"> </w:t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>продукции</w:t>
      </w:r>
      <w:r w:rsidRPr="00516196">
        <w:rPr>
          <w:rFonts w:ascii="Times New Roman CYR" w:eastAsia="Times New Roman" w:hAnsi="Times New Roman CYR" w:cs="Times New Roman CYR"/>
          <w:b/>
          <w:sz w:val="26"/>
          <w:szCs w:val="26"/>
        </w:rPr>
        <w:t>.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</w:rPr>
        <w:t>Вся поставляемая продукция проходит входной контроль, осуществляемый представителями 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516196">
        <w:rPr>
          <w:rFonts w:ascii="Times New Roman CYR" w:eastAsia="Times New Roman" w:hAnsi="Times New Roman CYR" w:cs="Times New Roman CYR"/>
          <w:sz w:val="26"/>
          <w:szCs w:val="26"/>
        </w:rPr>
        <w:t xml:space="preserve">» при получении на склад. </w:t>
      </w:r>
    </w:p>
    <w:p w:rsidR="00BA0470" w:rsidRDefault="00BA0470" w:rsidP="00BA0470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Приемка продукции по количеству и по качеству осуществляется в соответствии с инструкциями: </w:t>
      </w:r>
    </w:p>
    <w:p w:rsidR="00BA0470" w:rsidRDefault="00BA0470" w:rsidP="00BA0470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BA0470" w:rsidRDefault="00BA0470" w:rsidP="00BA0470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- </w:t>
      </w:r>
      <w:r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  <w:t xml:space="preserve">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F41BB5" w:rsidRPr="00516196" w:rsidRDefault="00F41BB5" w:rsidP="00F41BB5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516196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 в течение 20 (двадцати) календарных дней.</w:t>
      </w:r>
      <w:r w:rsidRPr="005161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41BB5" w:rsidRPr="00516196" w:rsidRDefault="00F41BB5" w:rsidP="00F41BB5">
      <w:pPr>
        <w:autoSpaceDE w:val="0"/>
        <w:autoSpaceDN w:val="0"/>
        <w:adjustRightInd w:val="0"/>
        <w:jc w:val="both"/>
        <w:rPr>
          <w:rFonts w:ascii="Times New Roman CYR" w:eastAsia="Times New Roman" w:hAnsi="Times New Roman CYR" w:cs="Times New Roman CYR"/>
          <w:sz w:val="26"/>
          <w:szCs w:val="26"/>
          <w:lang w:eastAsia="ru-RU"/>
        </w:rPr>
      </w:pP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p w:rsidR="00D74E38" w:rsidRDefault="00D74E38" w:rsidP="00D74E38">
      <w:pPr>
        <w:widowControl w:val="0"/>
        <w:suppressLineNumbers/>
        <w:ind w:right="40" w:firstLine="709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2977"/>
        <w:gridCol w:w="1701"/>
        <w:gridCol w:w="2977"/>
      </w:tblGrid>
      <w:tr w:rsidR="00D74E38" w:rsidRPr="00BC4DC6" w:rsidTr="00105F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</w:t>
            </w:r>
            <w:proofErr w:type="gramEnd"/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ind w:firstLine="34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4E38" w:rsidRPr="00BC4DC6" w:rsidRDefault="00D74E38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BC4DC6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A46FDD" w:rsidRPr="00BC4DC6" w:rsidTr="00105F7C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FDD" w:rsidRPr="00BC4DC6" w:rsidRDefault="00A46FDD" w:rsidP="00105F7C">
            <w:pPr>
              <w:tabs>
                <w:tab w:val="left" w:pos="-142"/>
                <w:tab w:val="left" w:pos="8789"/>
              </w:tabs>
              <w:autoSpaceDE w:val="0"/>
              <w:autoSpaceDN w:val="0"/>
              <w:adjustRightInd w:val="0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FDD" w:rsidRPr="00BC4DC6" w:rsidRDefault="00A46FDD" w:rsidP="00105F7C">
            <w:pPr>
              <w:tabs>
                <w:tab w:val="left" w:pos="8789"/>
              </w:tabs>
              <w:autoSpaceDE w:val="0"/>
              <w:autoSpaceDN w:val="0"/>
              <w:adjustRightInd w:val="0"/>
              <w:ind w:firstLine="709"/>
              <w:contextualSpacing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FDD" w:rsidRDefault="00A46FDD" w:rsidP="00D818D0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D818D0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ОТиС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6FDD" w:rsidRDefault="00A46FDD">
            <w:pPr>
              <w:tabs>
                <w:tab w:val="left" w:pos="8789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6FDD" w:rsidRDefault="00D818D0">
            <w:pPr>
              <w:tabs>
                <w:tab w:val="left" w:pos="8789"/>
              </w:tabs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Дамба А.О.</w:t>
            </w:r>
          </w:p>
        </w:tc>
      </w:tr>
    </w:tbl>
    <w:p w:rsidR="00D74E38" w:rsidRDefault="00D74E38" w:rsidP="00D74E38">
      <w:pPr>
        <w:autoSpaceDE w:val="0"/>
        <w:autoSpaceDN w:val="0"/>
        <w:adjustRightInd w:val="0"/>
        <w:jc w:val="both"/>
      </w:pPr>
    </w:p>
    <w:p w:rsidR="00516196" w:rsidRPr="00516196" w:rsidRDefault="00516196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196" w:rsidRDefault="00516196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0470" w:rsidRDefault="00BA0470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196" w:rsidRPr="00516196" w:rsidRDefault="00516196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61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 w:rsidR="00BA047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516196" w:rsidRPr="00516196" w:rsidRDefault="00516196" w:rsidP="00516196">
      <w:pPr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16196" w:rsidRPr="00516196" w:rsidRDefault="00516196" w:rsidP="00516196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16196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ХАРАКТЕРИСТИКИ И ТРЕБОВАНИЯ К ПОСТАВЛЯЕМОМУ ОБОРУДОВАНИЮ</w:t>
      </w:r>
      <w:r w:rsidR="00A903D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ВТ-6062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5829"/>
        <w:gridCol w:w="1794"/>
        <w:gridCol w:w="1794"/>
      </w:tblGrid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Требуемые значения параметров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tabs>
                <w:tab w:val="num" w:pos="240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Предлагаемые</w:t>
            </w:r>
            <w:proofErr w:type="gramEnd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значаения</w:t>
            </w:r>
            <w:proofErr w:type="spellEnd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параметров (заполняется участником)</w:t>
            </w:r>
          </w:p>
        </w:tc>
      </w:tr>
      <w:tr w:rsidR="00516196" w:rsidRPr="00516196" w:rsidTr="00516196">
        <w:trPr>
          <w:trHeight w:val="271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0" w:type="pct"/>
            <w:gridSpan w:val="2"/>
            <w:vAlign w:val="center"/>
          </w:tcPr>
          <w:p w:rsidR="00516196" w:rsidRPr="00516196" w:rsidRDefault="00516196" w:rsidP="00516196">
            <w:pPr>
              <w:spacing w:line="276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ПО НАДЕЖНОСТИ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spacing w:line="276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Наработка на отказ, </w:t>
            </w:r>
            <w:proofErr w:type="gram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120 000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Среднее время восстановления работоспособности, не более, </w:t>
            </w:r>
            <w:proofErr w:type="gram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автоматической самодиагностики, не реже, раз в сутки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Средний срок службы, лет,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Гарантийный срок эксплуатации со дня ввода в эксплуатацию должен составлять не менее, лет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3820" w:type="pct"/>
            <w:gridSpan w:val="2"/>
          </w:tcPr>
          <w:p w:rsidR="00516196" w:rsidRPr="00516196" w:rsidRDefault="00516196" w:rsidP="00516196">
            <w:pPr>
              <w:tabs>
                <w:tab w:val="left" w:pos="900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питанию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tabs>
                <w:tab w:val="left" w:pos="900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автоматическое переключение на резервный источник питания при исчезновении основного питания и обратно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700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-напряжение питания от сети переменного или постоянного тока, </w:t>
            </w:r>
            <w:proofErr w:type="gram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18-72В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-суммарная потребляемая мощность </w:t>
            </w:r>
            <w:r w:rsidRPr="00516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 полным набором модулей, </w:t>
            </w:r>
            <w:proofErr w:type="gramStart"/>
            <w:r w:rsidRPr="005161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proofErr w:type="gramEnd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более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3820" w:type="pct"/>
            <w:gridSpan w:val="2"/>
          </w:tcPr>
          <w:p w:rsidR="00516196" w:rsidRPr="00516196" w:rsidRDefault="00516196" w:rsidP="00516196">
            <w:pPr>
              <w:tabs>
                <w:tab w:val="left" w:pos="900"/>
              </w:tabs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Ведение «журнала события» с регистрацией времени и даты следующих фактов: 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tabs>
                <w:tab w:val="left" w:pos="900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-наличие факта </w:t>
            </w:r>
            <w:proofErr w:type="spell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параметрирования</w:t>
            </w:r>
            <w:proofErr w:type="spellEnd"/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-наличие факта коррекции времени в приборе учета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-попытки несанкционированного доступа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перезапуска (при пропадании напряжения, зацикливании и т.п.);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1.15.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наличие факта отключения питания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274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keepLines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0" w:type="pct"/>
            <w:gridSpan w:val="2"/>
            <w:vAlign w:val="center"/>
          </w:tcPr>
          <w:p w:rsidR="00516196" w:rsidRPr="00516196" w:rsidRDefault="00516196" w:rsidP="00516196">
            <w:pPr>
              <w:tabs>
                <w:tab w:val="left" w:pos="900"/>
              </w:tabs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ПО ЗАЩИЩЕННОСТИ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tabs>
                <w:tab w:val="left" w:pos="900"/>
              </w:tabs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3820" w:type="pct"/>
            <w:gridSpan w:val="2"/>
          </w:tcPr>
          <w:p w:rsidR="00516196" w:rsidRPr="00516196" w:rsidRDefault="00516196" w:rsidP="00516196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защиты от несанкционированного доступа (данных, параметров настройки, загруженных программ)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317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аппаратной части (доступ к </w:t>
            </w:r>
            <w:proofErr w:type="spell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параметрированию</w:t>
            </w:r>
            <w:proofErr w:type="spellEnd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 разъемам, функциональным модулям и т.д.) – механическое пломбирование или маркирование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3820" w:type="pct"/>
            <w:gridSpan w:val="2"/>
            <w:vAlign w:val="center"/>
          </w:tcPr>
          <w:p w:rsidR="00516196" w:rsidRPr="00516196" w:rsidRDefault="00516196" w:rsidP="00516196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программно-информационном обеспечении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установка паролей</w:t>
            </w:r>
            <w:r w:rsidRPr="00516196" w:rsidDel="009E76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 </w:t>
            </w:r>
            <w:proofErr w:type="spell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параметрировании</w:t>
            </w:r>
            <w:proofErr w:type="spellEnd"/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исключение возможности корректировки данных по протоколу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защита от зацикливания (</w:t>
            </w: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</w:t>
            </w:r>
            <w:proofErr w:type="spellStart"/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watchdog</w:t>
            </w:r>
            <w:proofErr w:type="spellEnd"/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")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безопасную работу, как в публичных сетях, так и в закрытых сетях связи, в том числе с использованием защищенного канала VPN с шифрованием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микроконтроллера со встроенной энергонезависимой памятью объёмом не менее 64 Кб для хранения ключей кодирования данных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96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0" w:type="pct"/>
            <w:gridSpan w:val="2"/>
            <w:vAlign w:val="center"/>
          </w:tcPr>
          <w:p w:rsidR="00516196" w:rsidRPr="00516196" w:rsidRDefault="00516196" w:rsidP="00516196">
            <w:pPr>
              <w:tabs>
                <w:tab w:val="left" w:pos="900"/>
              </w:tabs>
              <w:spacing w:after="6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ФУНКЦИОНАЛЬНЫЕ ТРЕБОВАНИЯ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tabs>
                <w:tab w:val="left" w:pos="900"/>
              </w:tabs>
              <w:spacing w:after="6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Синхронизация времени как самого устройства, так и в подключаемых приборах учета (в том числе, при отсутствии связи с ИВК верхнего уровня)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281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энергонезависимых часов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321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3820" w:type="pct"/>
            <w:gridSpan w:val="2"/>
            <w:vAlign w:val="center"/>
          </w:tcPr>
          <w:p w:rsidR="00516196" w:rsidRPr="00516196" w:rsidRDefault="00516196" w:rsidP="00516196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информации: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149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 состоянии средств и объектов измерений</w:t>
            </w:r>
          </w:p>
        </w:tc>
        <w:tc>
          <w:tcPr>
            <w:tcW w:w="899" w:type="pct"/>
            <w:vMerge w:val="restar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181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результатов измерений</w:t>
            </w:r>
          </w:p>
        </w:tc>
        <w:tc>
          <w:tcPr>
            <w:tcW w:w="899" w:type="pct"/>
            <w:vMerge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279"/>
        </w:trPr>
        <w:tc>
          <w:tcPr>
            <w:tcW w:w="281" w:type="pct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3820" w:type="pct"/>
            <w:gridSpan w:val="2"/>
          </w:tcPr>
          <w:p w:rsidR="00516196" w:rsidRPr="00516196" w:rsidRDefault="00516196" w:rsidP="00516196">
            <w:pPr>
              <w:keepNext/>
              <w:widowControl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Режимы обмена информацией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widowControl w:val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301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по регламенту (по меткам времени)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301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спорадически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301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- по запросу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301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инициативно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301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Автоматический сбор показаний приборов учета о  приращениях электроэнергии с заданной дискретностью учета (для розничного рынка - 60 минут), не реже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раз/сутки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Снятие показаний со всех контролируемых ИИК на единый момент времени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3.13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Двунаправленный обмен информацией между ИВКЭ и ИИК, ИВК, обеспечивающий передачу данных, диагностической информации и т.п.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протокола стандарта СПОДЭС**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Merge w:val="restar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Наличие возможности передачи данных в различные комплексы программно-технических средств, для их дальнейшей обработки и хранения, интеграция с АСТУ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Merge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состояний средств и объектов измерения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Merge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результатов измерения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Merge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поддержка протокола МЭК-60870-5-101/104 на прием и передачу информации.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Merge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- сбор и передача данных телесигнализации и телеизмерений 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Merge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 прием и выполнение команд телеуправления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не менее 16 дискретных входов</w:t>
            </w:r>
          </w:p>
        </w:tc>
        <w:tc>
          <w:tcPr>
            <w:tcW w:w="899" w:type="pct"/>
            <w:vAlign w:val="center"/>
          </w:tcPr>
          <w:p w:rsidR="00516196" w:rsidRPr="00516196" w:rsidDel="00434E7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Наличие не менее 6 каналов ввода ТС 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Наличие возможности передачи  информации об отключении питания в течение 2 минут с момента такого факта без применения внешних источников бесперебойного питания. Срок службы встроенного источника резервного питания должен составлять не менее 10-ти лет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3.19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Наличие возможности подключения концевого выключателя (фиксация факта открытия двери) 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3.20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Наличие возможности подключения датчика температуры 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3.21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Поддержка пользовательских вычислительных и управляющих алгоритмов для обработки и фильтрации первичной информации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3.22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Возможность подключение модулей ввода-вывода для расширения количества ТС/ТУ. 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289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0" w:type="pct"/>
            <w:gridSpan w:val="2"/>
            <w:vAlign w:val="center"/>
          </w:tcPr>
          <w:p w:rsidR="00516196" w:rsidRPr="00516196" w:rsidRDefault="00516196" w:rsidP="00516196">
            <w:pPr>
              <w:keepNext/>
              <w:tabs>
                <w:tab w:val="left" w:pos="90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Формирование и хранение учетных показателей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tabs>
                <w:tab w:val="left" w:pos="90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суточные данные о шестидесятиминутных приращениях электроэнергии средств измерений, объем хранимых данных,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90 суток, </w:t>
            </w:r>
          </w:p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чем с 5 приборов учета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470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состояние </w:t>
            </w: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средств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*** и </w:t>
            </w: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объектов**** измерений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расчете на один прибор учета при глубине хранения 90 суток,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5 000 записей, </w:t>
            </w:r>
          </w:p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чем с 5 приборов учета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470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Энергопотребление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сутки/месяц,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35 суток / 3,0 года, </w:t>
            </w:r>
          </w:p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чем с 5 приборов учета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хранения результатов измерения при отсутствии питания, в том числе, при севшей встроенной батарее,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года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Поддерживаемые приборы учета, типы и протоколы обмена должны быть указаны в эксплуатационной документации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возможности подключения внешнего источника сигналов точного времени (возможность подключения устройств, типа, 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GPS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/ГЛОНАСС, 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NTP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-серверов точного времени)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289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0" w:type="pct"/>
            <w:gridSpan w:val="2"/>
            <w:vAlign w:val="center"/>
          </w:tcPr>
          <w:p w:rsidR="00516196" w:rsidRPr="00516196" w:rsidRDefault="00516196" w:rsidP="00516196">
            <w:pPr>
              <w:keepNext/>
              <w:tabs>
                <w:tab w:val="left" w:pos="90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Формирование учетных показателей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tabs>
                <w:tab w:val="left" w:pos="90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суточные данные о шестидесятиминутных приращениях электроэнергии средств измерений,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суток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470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состояние </w:t>
            </w: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средств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*** и </w:t>
            </w: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объектов**** измерений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расчете на один прибор учета при глубине хранения 90 суток,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5 000 записей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470"/>
        </w:trPr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Энергопотребление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 сутки/месяц,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суток / 3,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4.4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измерения электроэнергии при отсутствии питания,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 года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Поддерживаемые приборы учета, их количество и протоколы обмена должны быть указаны в эксплуатационной документации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4.6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num" w:pos="24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возможности подключения внешнего источника сигналов точного времени (возможность подключения устройств, типа, 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GPS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/ГЛОНАСС)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363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0" w:type="pct"/>
            <w:gridSpan w:val="2"/>
            <w:vAlign w:val="center"/>
          </w:tcPr>
          <w:p w:rsidR="00516196" w:rsidRPr="00516196" w:rsidRDefault="00516196" w:rsidP="0051619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ТРЕБОВАНИЕ К МЕТРОЛОГИЧЕСКОМУ ОБЕСПЕЧЕНИЮ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5.1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Абсолютная среднесуточная погрешность хода часов за сутки без внешней синхронизации, </w:t>
            </w:r>
            <w:proofErr w:type="gram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ym w:font="Symbol" w:char="F0B1"/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1,0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действующего свидетельства об утверждении типа СИ 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5.3</w:t>
            </w:r>
          </w:p>
        </w:tc>
        <w:tc>
          <w:tcPr>
            <w:tcW w:w="2921" w:type="pct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первичной поверки</w:t>
            </w:r>
            <w:r w:rsidRPr="00516196" w:rsidDel="004D5B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5.4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Межповерочный</w:t>
            </w:r>
            <w:proofErr w:type="spellEnd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интервал, не менее, лет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rPr>
          <w:trHeight w:val="345"/>
        </w:trPr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3820" w:type="pct"/>
            <w:gridSpan w:val="2"/>
            <w:vAlign w:val="center"/>
          </w:tcPr>
          <w:p w:rsidR="00516196" w:rsidRPr="00516196" w:rsidRDefault="00516196" w:rsidP="00516196">
            <w:pPr>
              <w:keepNext/>
              <w:tabs>
                <w:tab w:val="left" w:pos="900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КОНСТРУКТИВНОМУ ИСПОЛНЕНИЮ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tabs>
                <w:tab w:val="left" w:pos="900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6.1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Степень защиты оболочек устройства по ГОСТ 14254, не ниже 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IP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51, либо обязательна установка в шкафу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6.2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интерфейса 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RS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-485, не менее одного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keepNext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6.3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keepNext/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Минимальная скорость передачи, бит / </w:t>
            </w:r>
            <w:proofErr w:type="gram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</w:p>
          <w:p w:rsidR="00516196" w:rsidRPr="00516196" w:rsidRDefault="00516196" w:rsidP="00516196">
            <w:pPr>
              <w:keepNext/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RS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-485, не менее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9 600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keepNext/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интерфейсов 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Ethernet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не менее одного</w:t>
            </w:r>
            <w:r w:rsidRPr="00516196" w:rsidDel="00A126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6.5.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Наличие интерфейсов 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LTE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UMTS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GPRS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GSM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 </w:t>
            </w:r>
            <w:proofErr w:type="spellStart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sim</w:t>
            </w:r>
            <w:proofErr w:type="spellEnd"/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-карты)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6.6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Промышленное исполнение, предназначено для непрерывного функционирования в помещениях с повышенной опасностью, с возможностью установки в ограниченных пространствах (в шкафах, отсеках, панелях и т.п.), а также обеспечивать удобство технического обслуживания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6.7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интерфейса 1-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Wire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подключения цифровых датчиков температуры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16196" w:rsidRPr="00516196" w:rsidTr="00516196">
        <w:tc>
          <w:tcPr>
            <w:tcW w:w="281" w:type="pct"/>
            <w:vAlign w:val="center"/>
          </w:tcPr>
          <w:p w:rsidR="00516196" w:rsidRPr="00516196" w:rsidRDefault="00516196" w:rsidP="0051619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2921" w:type="pct"/>
            <w:vAlign w:val="center"/>
          </w:tcPr>
          <w:p w:rsidR="00516196" w:rsidRPr="00516196" w:rsidRDefault="00516196" w:rsidP="00516196">
            <w:pPr>
              <w:tabs>
                <w:tab w:val="left" w:pos="144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встроенной звуковой сигнализации</w:t>
            </w:r>
          </w:p>
        </w:tc>
        <w:tc>
          <w:tcPr>
            <w:tcW w:w="899" w:type="pct"/>
            <w:vAlign w:val="center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61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Обязательно</w:t>
            </w:r>
          </w:p>
        </w:tc>
        <w:tc>
          <w:tcPr>
            <w:tcW w:w="899" w:type="pct"/>
          </w:tcPr>
          <w:p w:rsidR="00516196" w:rsidRPr="00516196" w:rsidRDefault="00516196" w:rsidP="00516196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16196" w:rsidRPr="00516196" w:rsidRDefault="00516196" w:rsidP="00516196">
      <w:pPr>
        <w:ind w:left="1418" w:hanging="1418"/>
        <w:rPr>
          <w:rFonts w:ascii="Times New Roman" w:eastAsia="Times New Roman" w:hAnsi="Times New Roman" w:cs="Times New Roman"/>
          <w:sz w:val="24"/>
          <w:szCs w:val="24"/>
        </w:rPr>
      </w:pPr>
    </w:p>
    <w:p w:rsidR="00516196" w:rsidRPr="00516196" w:rsidRDefault="00516196" w:rsidP="00516196">
      <w:pPr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Примечание:</w:t>
      </w:r>
      <w:r w:rsidRPr="0051619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16196">
        <w:rPr>
          <w:rFonts w:ascii="Times New Roman" w:eastAsia="Times New Roman" w:hAnsi="Times New Roman" w:cs="Times New Roman"/>
          <w:b/>
          <w:sz w:val="20"/>
          <w:szCs w:val="20"/>
        </w:rPr>
        <w:t>*</w:t>
      </w: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>Напряжение питания от сети переменного тока должно составлять 220</w:t>
      </w:r>
      <w:proofErr w:type="gramStart"/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 xml:space="preserve"> В</w:t>
      </w:r>
      <w:proofErr w:type="gramEnd"/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 xml:space="preserve"> с допустимым отклонением напряжения в пределах ± 20%, при этом допускается использование внешних блоков питания напряжением 10 – 30 В. Охлаждение контроллера должно осуществляться за счет естественной конвекции. УСПД/контроллер должно обеспечивать работоспособность в диапазоне температур, в соответствии с условиями эксплуатации.</w:t>
      </w:r>
    </w:p>
    <w:p w:rsidR="00516196" w:rsidRPr="00516196" w:rsidRDefault="00516196" w:rsidP="00516196">
      <w:pPr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b/>
          <w:sz w:val="20"/>
          <w:szCs w:val="20"/>
        </w:rPr>
        <w:t xml:space="preserve">** </w:t>
      </w:r>
      <w:r w:rsidRPr="00516196">
        <w:rPr>
          <w:rFonts w:ascii="Times New Roman" w:eastAsia="Times New Roman" w:hAnsi="Times New Roman" w:cs="Times New Roman"/>
          <w:sz w:val="20"/>
          <w:szCs w:val="20"/>
        </w:rPr>
        <w:t>обязательно с 01.06.2018г.</w:t>
      </w:r>
    </w:p>
    <w:p w:rsidR="00516196" w:rsidRPr="00516196" w:rsidRDefault="00516196" w:rsidP="00516196">
      <w:pPr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>*** Выбор необходимых параметров по усмотрению оператора</w:t>
      </w:r>
    </w:p>
    <w:p w:rsidR="00516196" w:rsidRPr="00516196" w:rsidRDefault="00516196" w:rsidP="00516196">
      <w:pPr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>**** Рекомендуется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>1. Под состоянием средства измерения понимаются следующие параметры: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Вкл./выкл. счетчика;</w:t>
      </w: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Событие воздействия магнитным полем;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Событие срабатывания электронной пломбы;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Состояние дискретных входов;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- Результат самодиагностики; 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и др. события.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>2. Под состоянием объекта измерения (сетевая подстанция, вводное распределительное устройство на которых организуется учет электроэнергии) понимаются   данные полученные по каналам телесигнализации и телеизмерения.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>3. Под энергопотреблением понимается профиль параметров в соответствии протоколом СПОДЭС</w:t>
      </w:r>
      <w:r w:rsidRPr="00516196" w:rsidDel="00FF46D4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>(спецификация обмена данными электронных счетчиков), включающий в себя следующую информацию: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Метка времени;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- </w:t>
      </w:r>
      <w:proofErr w:type="spellStart"/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>Потарифные</w:t>
      </w:r>
      <w:proofErr w:type="spellEnd"/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 xml:space="preserve"> показания от начала работы (число записей зависит от количества тарифов);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Импорт активной энергии от начала работы;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Экспорт активной энергии от начала работы;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Реактивная энергия, импорт от начала работы;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Реактивная энергия, экспорт от начала работы;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Статус некачественной энергии;</w:t>
      </w:r>
    </w:p>
    <w:p w:rsidR="00516196" w:rsidRPr="00516196" w:rsidRDefault="00516196" w:rsidP="00516196">
      <w:pPr>
        <w:tabs>
          <w:tab w:val="left" w:pos="1701"/>
        </w:tabs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516196">
        <w:rPr>
          <w:rFonts w:ascii="Times New Roman" w:eastAsia="Times New Roman" w:hAnsi="Times New Roman" w:cs="Times New Roman"/>
          <w:i/>
          <w:sz w:val="20"/>
          <w:szCs w:val="20"/>
        </w:rPr>
        <w:tab/>
        <w:t>- Время работы счетчика.</w:t>
      </w:r>
    </w:p>
    <w:p w:rsidR="00516196" w:rsidRPr="00516196" w:rsidRDefault="00516196" w:rsidP="00516196">
      <w:pPr>
        <w:autoSpaceDE w:val="0"/>
        <w:autoSpaceDN w:val="0"/>
        <w:adjustRightInd w:val="0"/>
        <w:jc w:val="center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74E38" w:rsidRPr="00BC4DC6" w:rsidRDefault="00D74E38" w:rsidP="00C135AB">
      <w:pPr>
        <w:autoSpaceDE w:val="0"/>
        <w:autoSpaceDN w:val="0"/>
        <w:adjustRightInd w:val="0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</w:p>
    <w:sectPr w:rsidR="00D74E38" w:rsidRPr="00BC4DC6" w:rsidSect="00F41BB5">
      <w:pgSz w:w="11906" w:h="16838"/>
      <w:pgMar w:top="426" w:right="566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B5D70"/>
    <w:multiLevelType w:val="multilevel"/>
    <w:tmpl w:val="9BD0E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2E7E81"/>
    <w:multiLevelType w:val="multilevel"/>
    <w:tmpl w:val="BAE8EB1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2">
    <w:nsid w:val="1AF31171"/>
    <w:multiLevelType w:val="multilevel"/>
    <w:tmpl w:val="8DCE8A1E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479" w:hanging="360"/>
      </w:pPr>
    </w:lvl>
    <w:lvl w:ilvl="2">
      <w:start w:val="1"/>
      <w:numFmt w:val="decimal"/>
      <w:lvlText w:val="%1.%2.%3"/>
      <w:lvlJc w:val="left"/>
      <w:pPr>
        <w:ind w:left="6958" w:hanging="720"/>
      </w:pPr>
    </w:lvl>
    <w:lvl w:ilvl="3">
      <w:start w:val="1"/>
      <w:numFmt w:val="decimal"/>
      <w:lvlText w:val="%1.%2.%3.%4"/>
      <w:lvlJc w:val="left"/>
      <w:pPr>
        <w:ind w:left="10077" w:hanging="720"/>
      </w:pPr>
    </w:lvl>
    <w:lvl w:ilvl="4">
      <w:start w:val="1"/>
      <w:numFmt w:val="decimal"/>
      <w:lvlText w:val="%1.%2.%3.%4.%5"/>
      <w:lvlJc w:val="left"/>
      <w:pPr>
        <w:ind w:left="13556" w:hanging="1080"/>
      </w:pPr>
    </w:lvl>
    <w:lvl w:ilvl="5">
      <w:start w:val="1"/>
      <w:numFmt w:val="decimal"/>
      <w:lvlText w:val="%1.%2.%3.%4.%5.%6"/>
      <w:lvlJc w:val="left"/>
      <w:pPr>
        <w:ind w:left="17035" w:hanging="1440"/>
      </w:pPr>
    </w:lvl>
    <w:lvl w:ilvl="6">
      <w:start w:val="1"/>
      <w:numFmt w:val="decimal"/>
      <w:lvlText w:val="%1.%2.%3.%4.%5.%6.%7"/>
      <w:lvlJc w:val="left"/>
      <w:pPr>
        <w:ind w:left="20154" w:hanging="1440"/>
      </w:pPr>
    </w:lvl>
    <w:lvl w:ilvl="7">
      <w:start w:val="1"/>
      <w:numFmt w:val="decimal"/>
      <w:lvlText w:val="%1.%2.%3.%4.%5.%6.%7.%8"/>
      <w:lvlJc w:val="left"/>
      <w:pPr>
        <w:ind w:left="23633" w:hanging="1800"/>
      </w:pPr>
    </w:lvl>
    <w:lvl w:ilvl="8">
      <w:start w:val="1"/>
      <w:numFmt w:val="decimal"/>
      <w:lvlText w:val="%1.%2.%3.%4.%5.%6.%7.%8.%9"/>
      <w:lvlJc w:val="left"/>
      <w:pPr>
        <w:ind w:left="26752" w:hanging="1800"/>
      </w:pPr>
    </w:lvl>
  </w:abstractNum>
  <w:abstractNum w:abstractNumId="3">
    <w:nsid w:val="204C29D0"/>
    <w:multiLevelType w:val="multilevel"/>
    <w:tmpl w:val="3A4E16C8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1800"/>
      </w:pPr>
      <w:rPr>
        <w:rFonts w:hint="default"/>
      </w:rPr>
    </w:lvl>
  </w:abstractNum>
  <w:abstractNum w:abstractNumId="4">
    <w:nsid w:val="207F5538"/>
    <w:multiLevelType w:val="hybridMultilevel"/>
    <w:tmpl w:val="3BF81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CD3812"/>
    <w:multiLevelType w:val="multilevel"/>
    <w:tmpl w:val="997A6AFA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cs="Times New Roman" w:hint="default"/>
      </w:rPr>
    </w:lvl>
  </w:abstractNum>
  <w:abstractNum w:abstractNumId="6">
    <w:nsid w:val="3F1E2040"/>
    <w:multiLevelType w:val="multilevel"/>
    <w:tmpl w:val="C21C2F52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cs="Times New Roman" w:hint="default"/>
        <w:b w:val="0"/>
      </w:rPr>
    </w:lvl>
  </w:abstractNum>
  <w:abstractNum w:abstractNumId="7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/>
      </w:rPr>
    </w:lvl>
  </w:abstractNum>
  <w:abstractNum w:abstractNumId="8">
    <w:nsid w:val="64376454"/>
    <w:multiLevelType w:val="hybridMultilevel"/>
    <w:tmpl w:val="917CED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911C7F"/>
    <w:multiLevelType w:val="multilevel"/>
    <w:tmpl w:val="40A8C3EE"/>
    <w:lvl w:ilvl="0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6DE8242D"/>
    <w:multiLevelType w:val="multilevel"/>
    <w:tmpl w:val="1062E2A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11">
    <w:nsid w:val="742E4B19"/>
    <w:multiLevelType w:val="hybridMultilevel"/>
    <w:tmpl w:val="A9EAE77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79E93511"/>
    <w:multiLevelType w:val="hybridMultilevel"/>
    <w:tmpl w:val="1C2412F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4"/>
  </w:num>
  <w:num w:numId="3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2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229"/>
    <w:rsid w:val="00003D5F"/>
    <w:rsid w:val="00004254"/>
    <w:rsid w:val="0000500E"/>
    <w:rsid w:val="00013CB9"/>
    <w:rsid w:val="00050196"/>
    <w:rsid w:val="0006526B"/>
    <w:rsid w:val="000B0515"/>
    <w:rsid w:val="000D3143"/>
    <w:rsid w:val="000D547C"/>
    <w:rsid w:val="0010050B"/>
    <w:rsid w:val="0010521E"/>
    <w:rsid w:val="00105753"/>
    <w:rsid w:val="00105F7C"/>
    <w:rsid w:val="001117F2"/>
    <w:rsid w:val="00113D2B"/>
    <w:rsid w:val="001209BD"/>
    <w:rsid w:val="00163576"/>
    <w:rsid w:val="00165AD8"/>
    <w:rsid w:val="001A4A72"/>
    <w:rsid w:val="001E14A8"/>
    <w:rsid w:val="00241C8E"/>
    <w:rsid w:val="002866C5"/>
    <w:rsid w:val="002941F7"/>
    <w:rsid w:val="002C4280"/>
    <w:rsid w:val="002E27F9"/>
    <w:rsid w:val="002E3AF6"/>
    <w:rsid w:val="002F0E26"/>
    <w:rsid w:val="00302B5D"/>
    <w:rsid w:val="00302E99"/>
    <w:rsid w:val="00307FF7"/>
    <w:rsid w:val="0035463A"/>
    <w:rsid w:val="00394E43"/>
    <w:rsid w:val="003A1CC7"/>
    <w:rsid w:val="003A2EE2"/>
    <w:rsid w:val="003A47FE"/>
    <w:rsid w:val="003C3B6C"/>
    <w:rsid w:val="003C481B"/>
    <w:rsid w:val="003C7272"/>
    <w:rsid w:val="003E3041"/>
    <w:rsid w:val="00417CC6"/>
    <w:rsid w:val="00430EE7"/>
    <w:rsid w:val="00487745"/>
    <w:rsid w:val="004D3EFE"/>
    <w:rsid w:val="00516196"/>
    <w:rsid w:val="00536030"/>
    <w:rsid w:val="00560594"/>
    <w:rsid w:val="005675D1"/>
    <w:rsid w:val="005712B0"/>
    <w:rsid w:val="00585A63"/>
    <w:rsid w:val="005F1518"/>
    <w:rsid w:val="00607985"/>
    <w:rsid w:val="00630F24"/>
    <w:rsid w:val="0063329F"/>
    <w:rsid w:val="0064553A"/>
    <w:rsid w:val="00646BC0"/>
    <w:rsid w:val="00653221"/>
    <w:rsid w:val="0066206A"/>
    <w:rsid w:val="00667E1A"/>
    <w:rsid w:val="006A10B5"/>
    <w:rsid w:val="006C1C45"/>
    <w:rsid w:val="006D0AFC"/>
    <w:rsid w:val="006D4A5C"/>
    <w:rsid w:val="006E418B"/>
    <w:rsid w:val="00740334"/>
    <w:rsid w:val="00747759"/>
    <w:rsid w:val="00754D56"/>
    <w:rsid w:val="007736DA"/>
    <w:rsid w:val="00793A7B"/>
    <w:rsid w:val="007E3383"/>
    <w:rsid w:val="00810297"/>
    <w:rsid w:val="0084148D"/>
    <w:rsid w:val="00894229"/>
    <w:rsid w:val="008A2A1B"/>
    <w:rsid w:val="008E5F47"/>
    <w:rsid w:val="00910770"/>
    <w:rsid w:val="00915294"/>
    <w:rsid w:val="00916B27"/>
    <w:rsid w:val="00917810"/>
    <w:rsid w:val="00924FB1"/>
    <w:rsid w:val="00957971"/>
    <w:rsid w:val="009D341A"/>
    <w:rsid w:val="009D53DE"/>
    <w:rsid w:val="009F40BE"/>
    <w:rsid w:val="00A02F09"/>
    <w:rsid w:val="00A30B96"/>
    <w:rsid w:val="00A356A2"/>
    <w:rsid w:val="00A429AE"/>
    <w:rsid w:val="00A42DF1"/>
    <w:rsid w:val="00A46FDD"/>
    <w:rsid w:val="00A82527"/>
    <w:rsid w:val="00A903D2"/>
    <w:rsid w:val="00A93BFB"/>
    <w:rsid w:val="00A96F2F"/>
    <w:rsid w:val="00A976B8"/>
    <w:rsid w:val="00AB1DC6"/>
    <w:rsid w:val="00AC4BAA"/>
    <w:rsid w:val="00AC7E0E"/>
    <w:rsid w:val="00AE0F38"/>
    <w:rsid w:val="00B00F5B"/>
    <w:rsid w:val="00B02BD2"/>
    <w:rsid w:val="00B16A75"/>
    <w:rsid w:val="00B20653"/>
    <w:rsid w:val="00B33902"/>
    <w:rsid w:val="00B46158"/>
    <w:rsid w:val="00B816A1"/>
    <w:rsid w:val="00BA0470"/>
    <w:rsid w:val="00BA31DD"/>
    <w:rsid w:val="00BB0428"/>
    <w:rsid w:val="00BC4DC6"/>
    <w:rsid w:val="00BD5EA9"/>
    <w:rsid w:val="00BE05EB"/>
    <w:rsid w:val="00C135AB"/>
    <w:rsid w:val="00C233EA"/>
    <w:rsid w:val="00C4743A"/>
    <w:rsid w:val="00C6529A"/>
    <w:rsid w:val="00C72F35"/>
    <w:rsid w:val="00C94339"/>
    <w:rsid w:val="00CE6DB9"/>
    <w:rsid w:val="00D04548"/>
    <w:rsid w:val="00D32B7F"/>
    <w:rsid w:val="00D6748D"/>
    <w:rsid w:val="00D736C3"/>
    <w:rsid w:val="00D74E38"/>
    <w:rsid w:val="00D818D0"/>
    <w:rsid w:val="00DA1681"/>
    <w:rsid w:val="00DC6A48"/>
    <w:rsid w:val="00DD05AD"/>
    <w:rsid w:val="00E032C9"/>
    <w:rsid w:val="00E070A4"/>
    <w:rsid w:val="00E21C13"/>
    <w:rsid w:val="00E33C04"/>
    <w:rsid w:val="00EA34BC"/>
    <w:rsid w:val="00EC4863"/>
    <w:rsid w:val="00ED5FD9"/>
    <w:rsid w:val="00EE59E7"/>
    <w:rsid w:val="00F256B1"/>
    <w:rsid w:val="00F41BB5"/>
    <w:rsid w:val="00F43262"/>
    <w:rsid w:val="00F84B28"/>
    <w:rsid w:val="00F921E5"/>
    <w:rsid w:val="00F92322"/>
    <w:rsid w:val="00FC5A0E"/>
    <w:rsid w:val="00FD6825"/>
    <w:rsid w:val="00FF0C7F"/>
    <w:rsid w:val="00FF5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3262"/>
  </w:style>
  <w:style w:type="paragraph" w:styleId="a3">
    <w:name w:val="annotation text"/>
    <w:basedOn w:val="a"/>
    <w:link w:val="a4"/>
    <w:uiPriority w:val="99"/>
    <w:semiHidden/>
    <w:unhideWhenUsed/>
    <w:rsid w:val="00F43262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43262"/>
    <w:rPr>
      <w:rFonts w:ascii="Calibri" w:eastAsia="Calibri" w:hAnsi="Calibri" w:cs="Times New Roman"/>
      <w:sz w:val="20"/>
      <w:szCs w:val="20"/>
      <w:lang w:val="x-none"/>
    </w:rPr>
  </w:style>
  <w:style w:type="paragraph" w:styleId="a5">
    <w:name w:val="header"/>
    <w:basedOn w:val="a"/>
    <w:link w:val="a6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9">
    <w:name w:val="Body Text Indent"/>
    <w:basedOn w:val="a"/>
    <w:link w:val="aa"/>
    <w:semiHidden/>
    <w:unhideWhenUsed/>
    <w:rsid w:val="00F4326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F432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Plain Text"/>
    <w:basedOn w:val="a"/>
    <w:link w:val="ac"/>
    <w:uiPriority w:val="99"/>
    <w:semiHidden/>
    <w:unhideWhenUsed/>
    <w:rsid w:val="00F43262"/>
    <w:rPr>
      <w:rFonts w:ascii="Calibri" w:eastAsia="Times New Roman" w:hAnsi="Calibri" w:cs="Times New Roman"/>
      <w:szCs w:val="21"/>
      <w:lang w:val="x-none"/>
    </w:rPr>
  </w:style>
  <w:style w:type="character" w:customStyle="1" w:styleId="ac">
    <w:name w:val="Текст Знак"/>
    <w:basedOn w:val="a0"/>
    <w:link w:val="ab"/>
    <w:uiPriority w:val="99"/>
    <w:semiHidden/>
    <w:rsid w:val="00F43262"/>
    <w:rPr>
      <w:rFonts w:ascii="Calibri" w:eastAsia="Times New Roman" w:hAnsi="Calibri" w:cs="Times New Roman"/>
      <w:szCs w:val="21"/>
      <w:lang w:val="x-none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F43262"/>
    <w:rPr>
      <w:b/>
      <w:bCs/>
    </w:rPr>
  </w:style>
  <w:style w:type="character" w:customStyle="1" w:styleId="ae">
    <w:name w:val="Тема примечания Знак"/>
    <w:basedOn w:val="a4"/>
    <w:link w:val="ad"/>
    <w:uiPriority w:val="99"/>
    <w:semiHidden/>
    <w:rsid w:val="00F4326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">
    <w:name w:val="Balloon Text"/>
    <w:basedOn w:val="a"/>
    <w:link w:val="af0"/>
    <w:uiPriority w:val="99"/>
    <w:semiHidden/>
    <w:unhideWhenUsed/>
    <w:rsid w:val="00F4326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F43262"/>
    <w:rPr>
      <w:rFonts w:ascii="Tahoma" w:eastAsia="Calibri" w:hAnsi="Tahoma" w:cs="Times New Roman"/>
      <w:sz w:val="16"/>
      <w:szCs w:val="16"/>
      <w:lang w:val="x-none"/>
    </w:rPr>
  </w:style>
  <w:style w:type="paragraph" w:styleId="af1">
    <w:name w:val="List Paragraph"/>
    <w:basedOn w:val="a"/>
    <w:uiPriority w:val="34"/>
    <w:qFormat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Стиль3 Знак"/>
    <w:link w:val="30"/>
    <w:locked/>
    <w:rsid w:val="00F43262"/>
    <w:rPr>
      <w:rFonts w:ascii="Arial" w:eastAsia="Times New Roman" w:hAnsi="Arial" w:cs="Arial"/>
      <w:lang w:val="x-none" w:eastAsia="x-none"/>
    </w:rPr>
  </w:style>
  <w:style w:type="paragraph" w:customStyle="1" w:styleId="30">
    <w:name w:val="Стиль3"/>
    <w:basedOn w:val="a"/>
    <w:link w:val="3"/>
    <w:rsid w:val="00F43262"/>
    <w:pPr>
      <w:keepLines/>
      <w:spacing w:line="360" w:lineRule="auto"/>
      <w:ind w:firstLine="567"/>
      <w:jc w:val="both"/>
    </w:pPr>
    <w:rPr>
      <w:rFonts w:ascii="Arial" w:eastAsia="Times New Roman" w:hAnsi="Arial" w:cs="Arial"/>
      <w:lang w:val="x-none" w:eastAsia="x-none"/>
    </w:rPr>
  </w:style>
  <w:style w:type="character" w:styleId="af2">
    <w:name w:val="annotation reference"/>
    <w:uiPriority w:val="99"/>
    <w:semiHidden/>
    <w:unhideWhenUsed/>
    <w:rsid w:val="00F43262"/>
    <w:rPr>
      <w:sz w:val="16"/>
      <w:szCs w:val="16"/>
    </w:rPr>
  </w:style>
  <w:style w:type="character" w:customStyle="1" w:styleId="FontStyle39">
    <w:name w:val="Font Style39"/>
    <w:uiPriority w:val="99"/>
    <w:rsid w:val="00F43262"/>
    <w:rPr>
      <w:rFonts w:ascii="Times New Roman" w:hAnsi="Times New Roman" w:cs="Times New Roman" w:hint="default"/>
      <w:b/>
      <w:bCs/>
      <w:sz w:val="28"/>
      <w:szCs w:val="28"/>
    </w:rPr>
  </w:style>
  <w:style w:type="table" w:styleId="af3">
    <w:name w:val="Table Grid"/>
    <w:basedOn w:val="a1"/>
    <w:uiPriority w:val="59"/>
    <w:rsid w:val="00F4326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06526B"/>
    <w:rPr>
      <w:color w:val="808080"/>
    </w:rPr>
  </w:style>
  <w:style w:type="paragraph" w:styleId="af5">
    <w:name w:val="No Spacing"/>
    <w:uiPriority w:val="1"/>
    <w:qFormat/>
    <w:rsid w:val="00516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rsid w:val="0051619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43262"/>
  </w:style>
  <w:style w:type="paragraph" w:styleId="a3">
    <w:name w:val="annotation text"/>
    <w:basedOn w:val="a"/>
    <w:link w:val="a4"/>
    <w:uiPriority w:val="99"/>
    <w:semiHidden/>
    <w:unhideWhenUsed/>
    <w:rsid w:val="00F43262"/>
    <w:pPr>
      <w:spacing w:after="200" w:line="276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F43262"/>
    <w:rPr>
      <w:rFonts w:ascii="Calibri" w:eastAsia="Calibri" w:hAnsi="Calibri" w:cs="Times New Roman"/>
      <w:sz w:val="20"/>
      <w:szCs w:val="20"/>
      <w:lang w:val="x-none"/>
    </w:rPr>
  </w:style>
  <w:style w:type="paragraph" w:styleId="a5">
    <w:name w:val="header"/>
    <w:basedOn w:val="a"/>
    <w:link w:val="a6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7">
    <w:name w:val="footer"/>
    <w:basedOn w:val="a"/>
    <w:link w:val="a8"/>
    <w:uiPriority w:val="99"/>
    <w:semiHidden/>
    <w:unhideWhenUsed/>
    <w:rsid w:val="00F4326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F43262"/>
    <w:rPr>
      <w:rFonts w:ascii="Calibri" w:eastAsia="Calibri" w:hAnsi="Calibri" w:cs="Times New Roman"/>
      <w:lang w:val="x-none"/>
    </w:rPr>
  </w:style>
  <w:style w:type="paragraph" w:styleId="a9">
    <w:name w:val="Body Text Indent"/>
    <w:basedOn w:val="a"/>
    <w:link w:val="aa"/>
    <w:semiHidden/>
    <w:unhideWhenUsed/>
    <w:rsid w:val="00F43262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semiHidden/>
    <w:rsid w:val="00F4326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b">
    <w:name w:val="Plain Text"/>
    <w:basedOn w:val="a"/>
    <w:link w:val="ac"/>
    <w:uiPriority w:val="99"/>
    <w:semiHidden/>
    <w:unhideWhenUsed/>
    <w:rsid w:val="00F43262"/>
    <w:rPr>
      <w:rFonts w:ascii="Calibri" w:eastAsia="Times New Roman" w:hAnsi="Calibri" w:cs="Times New Roman"/>
      <w:szCs w:val="21"/>
      <w:lang w:val="x-none"/>
    </w:rPr>
  </w:style>
  <w:style w:type="character" w:customStyle="1" w:styleId="ac">
    <w:name w:val="Текст Знак"/>
    <w:basedOn w:val="a0"/>
    <w:link w:val="ab"/>
    <w:uiPriority w:val="99"/>
    <w:semiHidden/>
    <w:rsid w:val="00F43262"/>
    <w:rPr>
      <w:rFonts w:ascii="Calibri" w:eastAsia="Times New Roman" w:hAnsi="Calibri" w:cs="Times New Roman"/>
      <w:szCs w:val="21"/>
      <w:lang w:val="x-none"/>
    </w:rPr>
  </w:style>
  <w:style w:type="paragraph" w:styleId="ad">
    <w:name w:val="annotation subject"/>
    <w:basedOn w:val="a3"/>
    <w:next w:val="a3"/>
    <w:link w:val="ae"/>
    <w:uiPriority w:val="99"/>
    <w:semiHidden/>
    <w:unhideWhenUsed/>
    <w:rsid w:val="00F43262"/>
    <w:rPr>
      <w:b/>
      <w:bCs/>
    </w:rPr>
  </w:style>
  <w:style w:type="character" w:customStyle="1" w:styleId="ae">
    <w:name w:val="Тема примечания Знак"/>
    <w:basedOn w:val="a4"/>
    <w:link w:val="ad"/>
    <w:uiPriority w:val="99"/>
    <w:semiHidden/>
    <w:rsid w:val="00F43262"/>
    <w:rPr>
      <w:rFonts w:ascii="Calibri" w:eastAsia="Calibri" w:hAnsi="Calibri" w:cs="Times New Roman"/>
      <w:b/>
      <w:bCs/>
      <w:sz w:val="20"/>
      <w:szCs w:val="20"/>
      <w:lang w:val="x-none"/>
    </w:rPr>
  </w:style>
  <w:style w:type="paragraph" w:styleId="af">
    <w:name w:val="Balloon Text"/>
    <w:basedOn w:val="a"/>
    <w:link w:val="af0"/>
    <w:uiPriority w:val="99"/>
    <w:semiHidden/>
    <w:unhideWhenUsed/>
    <w:rsid w:val="00F43262"/>
    <w:rPr>
      <w:rFonts w:ascii="Tahoma" w:eastAsia="Calibri" w:hAnsi="Tahoma" w:cs="Times New Roman"/>
      <w:sz w:val="16"/>
      <w:szCs w:val="16"/>
      <w:lang w:val="x-none"/>
    </w:rPr>
  </w:style>
  <w:style w:type="character" w:customStyle="1" w:styleId="af0">
    <w:name w:val="Текст выноски Знак"/>
    <w:basedOn w:val="a0"/>
    <w:link w:val="af"/>
    <w:uiPriority w:val="99"/>
    <w:semiHidden/>
    <w:rsid w:val="00F43262"/>
    <w:rPr>
      <w:rFonts w:ascii="Tahoma" w:eastAsia="Calibri" w:hAnsi="Tahoma" w:cs="Times New Roman"/>
      <w:sz w:val="16"/>
      <w:szCs w:val="16"/>
      <w:lang w:val="x-none"/>
    </w:rPr>
  </w:style>
  <w:style w:type="paragraph" w:styleId="af1">
    <w:name w:val="List Paragraph"/>
    <w:basedOn w:val="a"/>
    <w:uiPriority w:val="34"/>
    <w:qFormat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F43262"/>
    <w:pPr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Стиль3 Знак"/>
    <w:link w:val="30"/>
    <w:locked/>
    <w:rsid w:val="00F43262"/>
    <w:rPr>
      <w:rFonts w:ascii="Arial" w:eastAsia="Times New Roman" w:hAnsi="Arial" w:cs="Arial"/>
      <w:lang w:val="x-none" w:eastAsia="x-none"/>
    </w:rPr>
  </w:style>
  <w:style w:type="paragraph" w:customStyle="1" w:styleId="30">
    <w:name w:val="Стиль3"/>
    <w:basedOn w:val="a"/>
    <w:link w:val="3"/>
    <w:rsid w:val="00F43262"/>
    <w:pPr>
      <w:keepLines/>
      <w:spacing w:line="360" w:lineRule="auto"/>
      <w:ind w:firstLine="567"/>
      <w:jc w:val="both"/>
    </w:pPr>
    <w:rPr>
      <w:rFonts w:ascii="Arial" w:eastAsia="Times New Roman" w:hAnsi="Arial" w:cs="Arial"/>
      <w:lang w:val="x-none" w:eastAsia="x-none"/>
    </w:rPr>
  </w:style>
  <w:style w:type="character" w:styleId="af2">
    <w:name w:val="annotation reference"/>
    <w:uiPriority w:val="99"/>
    <w:semiHidden/>
    <w:unhideWhenUsed/>
    <w:rsid w:val="00F43262"/>
    <w:rPr>
      <w:sz w:val="16"/>
      <w:szCs w:val="16"/>
    </w:rPr>
  </w:style>
  <w:style w:type="character" w:customStyle="1" w:styleId="FontStyle39">
    <w:name w:val="Font Style39"/>
    <w:uiPriority w:val="99"/>
    <w:rsid w:val="00F43262"/>
    <w:rPr>
      <w:rFonts w:ascii="Times New Roman" w:hAnsi="Times New Roman" w:cs="Times New Roman" w:hint="default"/>
      <w:b/>
      <w:bCs/>
      <w:sz w:val="28"/>
      <w:szCs w:val="28"/>
    </w:rPr>
  </w:style>
  <w:style w:type="table" w:styleId="af3">
    <w:name w:val="Table Grid"/>
    <w:basedOn w:val="a1"/>
    <w:uiPriority w:val="59"/>
    <w:rsid w:val="00F43262"/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Placeholder Text"/>
    <w:basedOn w:val="a0"/>
    <w:uiPriority w:val="99"/>
    <w:semiHidden/>
    <w:rsid w:val="0006526B"/>
    <w:rPr>
      <w:color w:val="808080"/>
    </w:rPr>
  </w:style>
  <w:style w:type="paragraph" w:styleId="af5">
    <w:name w:val="No Spacing"/>
    <w:uiPriority w:val="1"/>
    <w:qFormat/>
    <w:rsid w:val="00516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rsid w:val="0051619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37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95130">
              <w:marLeft w:val="0"/>
              <w:marRight w:val="135"/>
              <w:marTop w:val="0"/>
              <w:marBottom w:val="225"/>
              <w:divBdr>
                <w:top w:val="single" w:sz="6" w:space="2" w:color="000000"/>
                <w:left w:val="single" w:sz="6" w:space="2" w:color="000000"/>
                <w:bottom w:val="single" w:sz="6" w:space="2" w:color="000000"/>
                <w:right w:val="single" w:sz="6" w:space="2" w:color="000000"/>
              </w:divBdr>
            </w:div>
          </w:divsChild>
        </w:div>
        <w:div w:id="11421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FAF9D-33A8-4961-B282-F4C3EE626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 Камиль Бмыжапович</dc:creator>
  <cp:lastModifiedBy>Сырчина Анна Владимировна</cp:lastModifiedBy>
  <cp:revision>2</cp:revision>
  <dcterms:created xsi:type="dcterms:W3CDTF">2019-03-07T02:19:00Z</dcterms:created>
  <dcterms:modified xsi:type="dcterms:W3CDTF">2019-03-07T02:19:00Z</dcterms:modified>
</cp:coreProperties>
</file>