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7" w:type="dxa"/>
        <w:tblLayout w:type="fixed"/>
        <w:tblLook w:val="04A0"/>
      </w:tblPr>
      <w:tblGrid>
        <w:gridCol w:w="6345"/>
        <w:gridCol w:w="4252"/>
      </w:tblGrid>
      <w:tr w:rsidR="00F43262" w:rsidRPr="00F43262" w:rsidTr="00F72112">
        <w:tc>
          <w:tcPr>
            <w:tcW w:w="6345" w:type="dxa"/>
            <w:hideMark/>
          </w:tcPr>
          <w:p w:rsidR="00B02BD2" w:rsidRDefault="00B02BD2" w:rsidP="00F4326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B02BD2" w:rsidRPr="00F43262" w:rsidRDefault="00B02BD2" w:rsidP="00F4326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  <w:tc>
          <w:tcPr>
            <w:tcW w:w="4252" w:type="dxa"/>
          </w:tcPr>
          <w:p w:rsidR="00B02BD2" w:rsidRDefault="00B02BD2" w:rsidP="00F4326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F72112" w:rsidRPr="00F72112" w:rsidRDefault="00F72112" w:rsidP="00F7211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F72112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F72112" w:rsidRPr="00F72112" w:rsidRDefault="00F72112" w:rsidP="00F7211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F72112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Начальник управления корпоративных и технологических автоматизированных систем управления</w:t>
            </w:r>
          </w:p>
          <w:p w:rsidR="00F72112" w:rsidRPr="00F72112" w:rsidRDefault="00F72112" w:rsidP="00F7211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F72112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____________ О.А. Мамонтова</w:t>
            </w:r>
          </w:p>
          <w:p w:rsidR="00F72112" w:rsidRPr="00F72112" w:rsidRDefault="00F72112" w:rsidP="00F7211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F72112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F43262" w:rsidRPr="00F43262" w:rsidRDefault="00F43262" w:rsidP="00F72112">
            <w:pPr>
              <w:tabs>
                <w:tab w:val="left" w:pos="6804"/>
              </w:tabs>
              <w:autoSpaceDE w:val="0"/>
              <w:autoSpaceDN w:val="0"/>
              <w:adjustRightInd w:val="0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F43262" w:rsidRPr="00F43262" w:rsidRDefault="00F43262" w:rsidP="00F43262">
      <w:pPr>
        <w:tabs>
          <w:tab w:val="left" w:pos="6804"/>
        </w:tabs>
        <w:autoSpaceDE w:val="0"/>
        <w:autoSpaceDN w:val="0"/>
        <w:adjustRightInd w:val="0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2941F7" w:rsidRPr="00F43262" w:rsidRDefault="00F43262" w:rsidP="00C135AB">
      <w:pPr>
        <w:autoSpaceDE w:val="0"/>
        <w:autoSpaceDN w:val="0"/>
        <w:adjustRightInd w:val="0"/>
        <w:ind w:firstLine="709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на проведение закупки на </w:t>
      </w:r>
      <w:r w:rsidR="001117F2">
        <w:rPr>
          <w:rFonts w:ascii="Times New Roman CYR" w:eastAsia="Times New Roman" w:hAnsi="Times New Roman CYR" w:cs="Times New Roman CYR"/>
          <w:sz w:val="26"/>
          <w:szCs w:val="26"/>
        </w:rPr>
        <w:t>поставку</w:t>
      </w:r>
      <w:r w:rsidR="00A42DF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A42DF1" w:rsidRPr="00A42DF1">
        <w:rPr>
          <w:rFonts w:ascii="Times New Roman CYR" w:eastAsia="Times New Roman" w:hAnsi="Times New Roman CYR" w:cs="Times New Roman CYR"/>
          <w:sz w:val="26"/>
          <w:szCs w:val="26"/>
        </w:rPr>
        <w:t>электротехнических вспомогательных материалов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F43262" w:rsidRPr="00F43262" w:rsidRDefault="00C4743A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1.1 Заказчик: </w:t>
      </w:r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».</w:t>
      </w:r>
    </w:p>
    <w:p w:rsidR="0084148D" w:rsidRDefault="00F43262" w:rsidP="00C4743A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1.2 Предмет закупки: </w:t>
      </w:r>
      <w:r w:rsidR="00A42DF1" w:rsidRPr="00A42DF1">
        <w:rPr>
          <w:rFonts w:ascii="Times New Roman CYR" w:eastAsia="Times New Roman" w:hAnsi="Times New Roman CYR" w:cs="Times New Roman CYR"/>
          <w:sz w:val="26"/>
          <w:szCs w:val="26"/>
        </w:rPr>
        <w:t>Поставка электротехнических вспомогательных материалов</w:t>
      </w:r>
    </w:p>
    <w:p w:rsidR="00F43262" w:rsidRPr="00F43262" w:rsidRDefault="00F43262" w:rsidP="00C4743A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2.1 Место поставки: г. Кызыл, Ул. К</w:t>
      </w:r>
      <w:r w:rsidR="00910770">
        <w:rPr>
          <w:rFonts w:ascii="Times New Roman CYR" w:eastAsia="Times New Roman" w:hAnsi="Times New Roman CYR" w:cs="Times New Roman CYR"/>
          <w:sz w:val="26"/>
          <w:szCs w:val="26"/>
        </w:rPr>
        <w:t xml:space="preserve">олхозная 2, центральный склад 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АО </w:t>
      </w:r>
      <w:r w:rsidR="00241C8E">
        <w:rPr>
          <w:rFonts w:ascii="Times New Roman CYR" w:eastAsia="Times New Roman" w:hAnsi="Times New Roman CYR" w:cs="Times New Roman CYR"/>
          <w:sz w:val="26"/>
          <w:szCs w:val="26"/>
        </w:rPr>
        <w:t>«</w:t>
      </w:r>
      <w:proofErr w:type="spellStart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». 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2.2 Поставка продукции осуществляется транспортом поставщика</w:t>
      </w:r>
      <w:r w:rsidRPr="00F43262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до места поставки. </w:t>
      </w:r>
    </w:p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F43262" w:rsidRPr="00F43262" w:rsidRDefault="00F43262" w:rsidP="00D6748D">
      <w:pPr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2.3 Срок поставки: 30 календарных дней с момента заключения договора на поставку.</w:t>
      </w:r>
      <w:r w:rsidR="0010521E" w:rsidRPr="0010521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поставки.</w:t>
      </w:r>
    </w:p>
    <w:tbl>
      <w:tblPr>
        <w:tblW w:w="10221" w:type="dxa"/>
        <w:tblInd w:w="93" w:type="dxa"/>
        <w:tblLayout w:type="fixed"/>
        <w:tblLook w:val="04A0"/>
      </w:tblPr>
      <w:tblGrid>
        <w:gridCol w:w="441"/>
        <w:gridCol w:w="1275"/>
        <w:gridCol w:w="1555"/>
        <w:gridCol w:w="1706"/>
        <w:gridCol w:w="567"/>
        <w:gridCol w:w="708"/>
        <w:gridCol w:w="1041"/>
        <w:gridCol w:w="943"/>
        <w:gridCol w:w="1135"/>
        <w:gridCol w:w="850"/>
      </w:tblGrid>
      <w:tr w:rsidR="00536030" w:rsidRPr="00A42DF1" w:rsidTr="00A42DF1">
        <w:trPr>
          <w:trHeight w:val="51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536030">
            <w:pPr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032C9" w:rsidRPr="00A42DF1" w:rsidRDefault="00E032C9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032C9" w:rsidRPr="00A42DF1" w:rsidRDefault="00E032C9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BA31DD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536030" w:rsidRPr="00A42DF1" w:rsidTr="00A42DF1">
        <w:trPr>
          <w:trHeight w:val="78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6030" w:rsidRPr="00A42DF1" w:rsidRDefault="00536030" w:rsidP="00C135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536030" w:rsidRPr="00A42DF1" w:rsidTr="00A42DF1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8E5F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A42DF1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2D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3421100095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Выключатель ВА47-29 1P 5А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94,36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1792,84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3421100089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Выключатель ВА47-29 1P 3А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94,39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3586,82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3449950990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Клемма ST 2,5 3031212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1 140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30,38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34633,2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3449951187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Клемма UT 2,5-PE 3044092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F82646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144,18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563B49" w:rsidRDefault="00F82646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3B4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10957,68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3425700195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Реле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Finder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38.52.0.240.0060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1 040,68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79091,68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4229890005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Реле</w:t>
            </w:r>
            <w:r w:rsidRPr="00BE38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REL-IR/LDP- 24DC/4X21AU 2834096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633,68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72239,52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4229890007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 PR2-BSC2/4X21 2833563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383,07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43669,98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6659300132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 пит.STEP-PS1AC/24DC/2,5 2868651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3 376,61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64155,59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3449950478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Держатель реле EL2-P35 2833592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24,42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2783,88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2293190006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Бирка маркировочная У-134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1140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1265,4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2293190009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Бирка маркировочная У-136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3449620034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Кабель-канал перфорированный 40х40мм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149,21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5669,98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3449660079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Скоба мет.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однолапковая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d48-50мм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14,39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5468,2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1690000028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Стяжка нейлон. 3,6х180 100шт.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УПК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77,02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1463,38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3449660094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Стяжка нейлон. 3,6х250 100шт.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УПК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94,20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1789,8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2248110005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Труба гибкая ПНД 50мм двустенная с зонд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50,42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14369,7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3912130039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Сверло по мет. 3,2мм Р6М5 прав.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цилинд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13,07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993,32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3449820066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 НШВИ 1,5-12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3491100005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Изолента ПВХ 19ммх20м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15,75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1271100040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Дюбель-гвоздь 6х40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1640000126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Саморез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3,5х11 СММ с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прессшайбой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сверло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4372120091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Извещатель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ИО-102-29 Эстет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163,32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6206,16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3551000136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ПуВ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1х1,5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3555000231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ПуВ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1х6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49,81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9463,9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3581000013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ПуГВ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1х1,5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1140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14,35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16359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E3803" w:rsidRPr="00BE3803" w:rsidRDefault="00BE380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3464890018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3803" w:rsidRPr="00BE3803" w:rsidRDefault="00BE3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DIN-рейка 35х7,5мм 140 см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оцинк</w:t>
            </w:r>
            <w:proofErr w:type="spellEnd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перфорир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170,17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3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3233,23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3803" w:rsidRPr="00EF08FB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03" w:rsidRPr="00A42DF1" w:rsidTr="00BE3803">
        <w:trPr>
          <w:trHeight w:val="510"/>
        </w:trPr>
        <w:tc>
          <w:tcPr>
            <w:tcW w:w="17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803" w:rsidRPr="00BE3803" w:rsidRDefault="00BE3803" w:rsidP="00C135A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8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803" w:rsidRPr="00BE3803" w:rsidRDefault="00BE3803" w:rsidP="00BE38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803" w:rsidRPr="00BE3803" w:rsidRDefault="00BE3803" w:rsidP="00BE38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803" w:rsidRPr="00F82646" w:rsidRDefault="00F82646" w:rsidP="00BE380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264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389648,00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803" w:rsidRPr="00EF08FB" w:rsidRDefault="00BE38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F4326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4.3. Продукция должна иметь сертификаты соответствия, сопровождаться документацией по монтажу, наладке и эксплуатации.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BC4DC6" w:rsidRP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</w:rPr>
      </w:pPr>
      <w:r w:rsidRPr="00BC4DC6">
        <w:rPr>
          <w:rFonts w:ascii="Times New Roman CYR" w:eastAsia="Calibri" w:hAnsi="Times New Roman CYR" w:cs="Times New Roman CYR"/>
          <w:sz w:val="26"/>
          <w:szCs w:val="26"/>
        </w:rPr>
        <w:t>4.5.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BC4DC6" w:rsidRDefault="00BC4DC6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p w:rsidR="00D74E38" w:rsidRDefault="00D74E38" w:rsidP="00D74E38">
      <w:pPr>
        <w:numPr>
          <w:ilvl w:val="0"/>
          <w:numId w:val="3"/>
        </w:numPr>
        <w:tabs>
          <w:tab w:val="num" w:pos="1418"/>
        </w:tabs>
        <w:autoSpaceDE w:val="0"/>
        <w:autoSpaceDN w:val="0"/>
        <w:adjustRightInd w:val="0"/>
        <w:ind w:hanging="2770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>Правила п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риемка продукции.</w:t>
      </w:r>
    </w:p>
    <w:p w:rsidR="00D74E38" w:rsidRDefault="00D74E38" w:rsidP="00D74E38">
      <w:pPr>
        <w:widowControl w:val="0"/>
        <w:numPr>
          <w:ilvl w:val="1"/>
          <w:numId w:val="4"/>
        </w:numPr>
        <w:suppressLineNumbers/>
        <w:ind w:left="0"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276"/>
        <w:gridCol w:w="2977"/>
        <w:gridCol w:w="1701"/>
        <w:gridCol w:w="2977"/>
      </w:tblGrid>
      <w:tr w:rsidR="00D74E38" w:rsidRPr="00BC4DC6" w:rsidTr="00105F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A46FDD" w:rsidRPr="00BC4DC6" w:rsidTr="00105F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FDD" w:rsidRPr="00BC4DC6" w:rsidRDefault="00A46FDD" w:rsidP="00105F7C">
            <w:pPr>
              <w:tabs>
                <w:tab w:val="left" w:pos="-142"/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FDD" w:rsidRPr="00BC4DC6" w:rsidRDefault="00A46FDD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FDD" w:rsidRDefault="00A46FDD" w:rsidP="00F72112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F72112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ОТиС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FDD" w:rsidRDefault="00A46FDD">
            <w:pPr>
              <w:tabs>
                <w:tab w:val="left" w:pos="8789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FDD" w:rsidRDefault="00F72112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Дамба А.О.</w:t>
            </w:r>
          </w:p>
        </w:tc>
      </w:tr>
    </w:tbl>
    <w:p w:rsidR="00D74E38" w:rsidRDefault="00D74E38" w:rsidP="00D74E38">
      <w:pPr>
        <w:autoSpaceDE w:val="0"/>
        <w:autoSpaceDN w:val="0"/>
        <w:adjustRightInd w:val="0"/>
        <w:jc w:val="both"/>
      </w:pPr>
    </w:p>
    <w:p w:rsidR="00D74E38" w:rsidRPr="00BC4DC6" w:rsidRDefault="00D74E38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sectPr w:rsidR="00D74E38" w:rsidRPr="00BC4DC6" w:rsidSect="00B02BD2">
      <w:pgSz w:w="11906" w:h="16838"/>
      <w:pgMar w:top="426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D70"/>
    <w:multiLevelType w:val="multilevel"/>
    <w:tmpl w:val="9BD0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31171"/>
    <w:multiLevelType w:val="multilevel"/>
    <w:tmpl w:val="8DCE8A1E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479" w:hanging="360"/>
      </w:pPr>
    </w:lvl>
    <w:lvl w:ilvl="2">
      <w:start w:val="1"/>
      <w:numFmt w:val="decimal"/>
      <w:lvlText w:val="%1.%2.%3"/>
      <w:lvlJc w:val="left"/>
      <w:pPr>
        <w:ind w:left="6958" w:hanging="720"/>
      </w:pPr>
    </w:lvl>
    <w:lvl w:ilvl="3">
      <w:start w:val="1"/>
      <w:numFmt w:val="decimal"/>
      <w:lvlText w:val="%1.%2.%3.%4"/>
      <w:lvlJc w:val="left"/>
      <w:pPr>
        <w:ind w:left="10077" w:hanging="720"/>
      </w:pPr>
    </w:lvl>
    <w:lvl w:ilvl="4">
      <w:start w:val="1"/>
      <w:numFmt w:val="decimal"/>
      <w:lvlText w:val="%1.%2.%3.%4.%5"/>
      <w:lvlJc w:val="left"/>
      <w:pPr>
        <w:ind w:left="13556" w:hanging="1080"/>
      </w:pPr>
    </w:lvl>
    <w:lvl w:ilvl="5">
      <w:start w:val="1"/>
      <w:numFmt w:val="decimal"/>
      <w:lvlText w:val="%1.%2.%3.%4.%5.%6"/>
      <w:lvlJc w:val="left"/>
      <w:pPr>
        <w:ind w:left="17035" w:hanging="1440"/>
      </w:pPr>
    </w:lvl>
    <w:lvl w:ilvl="6">
      <w:start w:val="1"/>
      <w:numFmt w:val="decimal"/>
      <w:lvlText w:val="%1.%2.%3.%4.%5.%6.%7"/>
      <w:lvlJc w:val="left"/>
      <w:pPr>
        <w:ind w:left="20154" w:hanging="1440"/>
      </w:pPr>
    </w:lvl>
    <w:lvl w:ilvl="7">
      <w:start w:val="1"/>
      <w:numFmt w:val="decimal"/>
      <w:lvlText w:val="%1.%2.%3.%4.%5.%6.%7.%8"/>
      <w:lvlJc w:val="left"/>
      <w:pPr>
        <w:ind w:left="23633" w:hanging="1800"/>
      </w:pPr>
    </w:lvl>
    <w:lvl w:ilvl="8">
      <w:start w:val="1"/>
      <w:numFmt w:val="decimal"/>
      <w:lvlText w:val="%1.%2.%3.%4.%5.%6.%7.%8.%9"/>
      <w:lvlJc w:val="left"/>
      <w:pPr>
        <w:ind w:left="26752" w:hanging="1800"/>
      </w:pPr>
    </w:lvl>
  </w:abstractNum>
  <w:abstractNum w:abstractNumId="2">
    <w:nsid w:val="207F5538"/>
    <w:multiLevelType w:val="hybridMultilevel"/>
    <w:tmpl w:val="3BF81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4">
    <w:nsid w:val="64376454"/>
    <w:multiLevelType w:val="hybridMultilevel"/>
    <w:tmpl w:val="917CE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E4B19"/>
    <w:multiLevelType w:val="hybridMultilevel"/>
    <w:tmpl w:val="A9EAE7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79E93511"/>
    <w:multiLevelType w:val="hybridMultilevel"/>
    <w:tmpl w:val="1C2412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08"/>
  <w:characterSpacingControl w:val="doNotCompress"/>
  <w:savePreviewPicture/>
  <w:compat/>
  <w:rsids>
    <w:rsidRoot w:val="00894229"/>
    <w:rsid w:val="00003D5F"/>
    <w:rsid w:val="00004254"/>
    <w:rsid w:val="0000500E"/>
    <w:rsid w:val="00013CB9"/>
    <w:rsid w:val="00050196"/>
    <w:rsid w:val="0006526B"/>
    <w:rsid w:val="000B0515"/>
    <w:rsid w:val="000B77CF"/>
    <w:rsid w:val="000D3143"/>
    <w:rsid w:val="000D547C"/>
    <w:rsid w:val="0010050B"/>
    <w:rsid w:val="0010521E"/>
    <w:rsid w:val="00105753"/>
    <w:rsid w:val="00105F7C"/>
    <w:rsid w:val="001117F2"/>
    <w:rsid w:val="00113D2B"/>
    <w:rsid w:val="001209BD"/>
    <w:rsid w:val="00163576"/>
    <w:rsid w:val="00165AD8"/>
    <w:rsid w:val="001A4A72"/>
    <w:rsid w:val="001E14A8"/>
    <w:rsid w:val="00241C8E"/>
    <w:rsid w:val="002866C5"/>
    <w:rsid w:val="002941F7"/>
    <w:rsid w:val="002C254A"/>
    <w:rsid w:val="002C4280"/>
    <w:rsid w:val="002E27F9"/>
    <w:rsid w:val="002E3AF6"/>
    <w:rsid w:val="002F0E26"/>
    <w:rsid w:val="00302B5D"/>
    <w:rsid w:val="00302E99"/>
    <w:rsid w:val="00307FF7"/>
    <w:rsid w:val="0035463A"/>
    <w:rsid w:val="003A1CC7"/>
    <w:rsid w:val="003A2EE2"/>
    <w:rsid w:val="003A47FE"/>
    <w:rsid w:val="003C3B6C"/>
    <w:rsid w:val="003C481B"/>
    <w:rsid w:val="003C7272"/>
    <w:rsid w:val="004018A3"/>
    <w:rsid w:val="00417CC6"/>
    <w:rsid w:val="00430EE7"/>
    <w:rsid w:val="00487745"/>
    <w:rsid w:val="004A5E4D"/>
    <w:rsid w:val="004D3EFE"/>
    <w:rsid w:val="00536030"/>
    <w:rsid w:val="00545081"/>
    <w:rsid w:val="005604AF"/>
    <w:rsid w:val="00560594"/>
    <w:rsid w:val="00563B49"/>
    <w:rsid w:val="005675D1"/>
    <w:rsid w:val="005712B0"/>
    <w:rsid w:val="00585A63"/>
    <w:rsid w:val="005F1518"/>
    <w:rsid w:val="00630F24"/>
    <w:rsid w:val="0063329F"/>
    <w:rsid w:val="0064553A"/>
    <w:rsid w:val="00646BC0"/>
    <w:rsid w:val="00653221"/>
    <w:rsid w:val="0066206A"/>
    <w:rsid w:val="00667E1A"/>
    <w:rsid w:val="00673D0B"/>
    <w:rsid w:val="006A10B5"/>
    <w:rsid w:val="006D0AFC"/>
    <w:rsid w:val="006D4A5C"/>
    <w:rsid w:val="006E418B"/>
    <w:rsid w:val="00740334"/>
    <w:rsid w:val="00747759"/>
    <w:rsid w:val="00754D56"/>
    <w:rsid w:val="007736DA"/>
    <w:rsid w:val="00793A7B"/>
    <w:rsid w:val="007E3383"/>
    <w:rsid w:val="00810297"/>
    <w:rsid w:val="0084148D"/>
    <w:rsid w:val="00894229"/>
    <w:rsid w:val="008A2A1B"/>
    <w:rsid w:val="008D074F"/>
    <w:rsid w:val="008E5F47"/>
    <w:rsid w:val="00910770"/>
    <w:rsid w:val="00915294"/>
    <w:rsid w:val="00917810"/>
    <w:rsid w:val="00924FB1"/>
    <w:rsid w:val="00957971"/>
    <w:rsid w:val="009D341A"/>
    <w:rsid w:val="009D53DE"/>
    <w:rsid w:val="009F40BE"/>
    <w:rsid w:val="00A02F09"/>
    <w:rsid w:val="00A30B96"/>
    <w:rsid w:val="00A356A2"/>
    <w:rsid w:val="00A429AE"/>
    <w:rsid w:val="00A42DF1"/>
    <w:rsid w:val="00A46FDD"/>
    <w:rsid w:val="00A93BFB"/>
    <w:rsid w:val="00A96F2F"/>
    <w:rsid w:val="00A976B8"/>
    <w:rsid w:val="00AA709A"/>
    <w:rsid w:val="00AB1DC6"/>
    <w:rsid w:val="00AC4BAA"/>
    <w:rsid w:val="00AC7E0E"/>
    <w:rsid w:val="00B00F5B"/>
    <w:rsid w:val="00B02BD2"/>
    <w:rsid w:val="00B16A75"/>
    <w:rsid w:val="00B20653"/>
    <w:rsid w:val="00B33902"/>
    <w:rsid w:val="00B46158"/>
    <w:rsid w:val="00B816A1"/>
    <w:rsid w:val="00BA31DD"/>
    <w:rsid w:val="00BB0428"/>
    <w:rsid w:val="00BC4DC6"/>
    <w:rsid w:val="00BD5EA9"/>
    <w:rsid w:val="00BE05EB"/>
    <w:rsid w:val="00BE3803"/>
    <w:rsid w:val="00C135AB"/>
    <w:rsid w:val="00C4743A"/>
    <w:rsid w:val="00C6529A"/>
    <w:rsid w:val="00C72F35"/>
    <w:rsid w:val="00C94339"/>
    <w:rsid w:val="00CE4B75"/>
    <w:rsid w:val="00CE6DB9"/>
    <w:rsid w:val="00D04548"/>
    <w:rsid w:val="00D3049F"/>
    <w:rsid w:val="00D32B7F"/>
    <w:rsid w:val="00D6748D"/>
    <w:rsid w:val="00D736C3"/>
    <w:rsid w:val="00D74E38"/>
    <w:rsid w:val="00DA1681"/>
    <w:rsid w:val="00DE6692"/>
    <w:rsid w:val="00DF1976"/>
    <w:rsid w:val="00E032C9"/>
    <w:rsid w:val="00E070A4"/>
    <w:rsid w:val="00E21C13"/>
    <w:rsid w:val="00E33C04"/>
    <w:rsid w:val="00E6616F"/>
    <w:rsid w:val="00EA34BC"/>
    <w:rsid w:val="00EC4863"/>
    <w:rsid w:val="00ED5FD9"/>
    <w:rsid w:val="00EF08FB"/>
    <w:rsid w:val="00F256B1"/>
    <w:rsid w:val="00F43262"/>
    <w:rsid w:val="00F72112"/>
    <w:rsid w:val="00F82646"/>
    <w:rsid w:val="00F84B28"/>
    <w:rsid w:val="00FC5A0E"/>
    <w:rsid w:val="00FD6825"/>
    <w:rsid w:val="00FF0C7F"/>
    <w:rsid w:val="00FF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3262"/>
  </w:style>
  <w:style w:type="paragraph" w:styleId="a3">
    <w:name w:val="annotation text"/>
    <w:basedOn w:val="a"/>
    <w:link w:val="a4"/>
    <w:uiPriority w:val="99"/>
    <w:semiHidden/>
    <w:unhideWhenUsed/>
    <w:rsid w:val="00F4326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43262"/>
    <w:rPr>
      <w:rFonts w:ascii="Calibri" w:eastAsia="Calibri" w:hAnsi="Calibri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326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3262"/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semiHidden/>
    <w:unhideWhenUsed/>
    <w:rsid w:val="00F4326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F4326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Plain Text"/>
    <w:basedOn w:val="a"/>
    <w:link w:val="ac"/>
    <w:uiPriority w:val="99"/>
    <w:semiHidden/>
    <w:unhideWhenUsed/>
    <w:rsid w:val="00F43262"/>
    <w:rPr>
      <w:rFonts w:ascii="Calibri" w:eastAsia="Times New Roman" w:hAnsi="Calibri" w:cs="Times New Roman"/>
      <w:szCs w:val="21"/>
    </w:rPr>
  </w:style>
  <w:style w:type="character" w:customStyle="1" w:styleId="ac">
    <w:name w:val="Текст Знак"/>
    <w:basedOn w:val="a0"/>
    <w:link w:val="ab"/>
    <w:uiPriority w:val="99"/>
    <w:semiHidden/>
    <w:rsid w:val="00F43262"/>
    <w:rPr>
      <w:rFonts w:ascii="Calibri" w:eastAsia="Times New Roman" w:hAnsi="Calibri" w:cs="Times New Roman"/>
      <w:szCs w:val="21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F43262"/>
    <w:rPr>
      <w:b/>
      <w:bCs/>
    </w:rPr>
  </w:style>
  <w:style w:type="character" w:customStyle="1" w:styleId="ae">
    <w:name w:val="Тема примечания Знак"/>
    <w:basedOn w:val="a4"/>
    <w:link w:val="ad"/>
    <w:uiPriority w:val="99"/>
    <w:semiHidden/>
    <w:rsid w:val="00F43262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F43262"/>
    <w:rPr>
      <w:rFonts w:ascii="Tahoma" w:eastAsia="Calibri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3262"/>
    <w:rPr>
      <w:rFonts w:ascii="Tahoma" w:eastAsia="Calibri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Стиль3 Знак"/>
    <w:link w:val="30"/>
    <w:locked/>
    <w:rsid w:val="00F43262"/>
    <w:rPr>
      <w:rFonts w:ascii="Arial" w:eastAsia="Times New Roman" w:hAnsi="Arial" w:cs="Arial"/>
    </w:rPr>
  </w:style>
  <w:style w:type="paragraph" w:customStyle="1" w:styleId="30">
    <w:name w:val="Стиль3"/>
    <w:basedOn w:val="a"/>
    <w:link w:val="3"/>
    <w:rsid w:val="00F43262"/>
    <w:pPr>
      <w:keepLines/>
      <w:spacing w:line="360" w:lineRule="auto"/>
      <w:ind w:firstLine="567"/>
      <w:jc w:val="both"/>
    </w:pPr>
    <w:rPr>
      <w:rFonts w:ascii="Arial" w:eastAsia="Times New Roman" w:hAnsi="Arial" w:cs="Arial"/>
    </w:rPr>
  </w:style>
  <w:style w:type="character" w:styleId="af2">
    <w:name w:val="annotation reference"/>
    <w:uiPriority w:val="99"/>
    <w:semiHidden/>
    <w:unhideWhenUsed/>
    <w:rsid w:val="00F43262"/>
    <w:rPr>
      <w:sz w:val="16"/>
      <w:szCs w:val="16"/>
    </w:rPr>
  </w:style>
  <w:style w:type="character" w:customStyle="1" w:styleId="FontStyle39">
    <w:name w:val="Font Style39"/>
    <w:uiPriority w:val="99"/>
    <w:rsid w:val="00F43262"/>
    <w:rPr>
      <w:rFonts w:ascii="Times New Roman" w:hAnsi="Times New Roman" w:cs="Times New Roman" w:hint="default"/>
      <w:b/>
      <w:bCs/>
      <w:sz w:val="28"/>
      <w:szCs w:val="28"/>
    </w:rPr>
  </w:style>
  <w:style w:type="table" w:styleId="af3">
    <w:name w:val="Table Grid"/>
    <w:basedOn w:val="a1"/>
    <w:uiPriority w:val="59"/>
    <w:rsid w:val="00F4326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0652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3262"/>
  </w:style>
  <w:style w:type="paragraph" w:styleId="a3">
    <w:name w:val="annotation text"/>
    <w:basedOn w:val="a"/>
    <w:link w:val="a4"/>
    <w:uiPriority w:val="99"/>
    <w:semiHidden/>
    <w:unhideWhenUsed/>
    <w:rsid w:val="00F43262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43262"/>
    <w:rPr>
      <w:rFonts w:ascii="Calibri" w:eastAsia="Calibri" w:hAnsi="Calibri" w:cs="Times New Roman"/>
      <w:sz w:val="20"/>
      <w:szCs w:val="20"/>
      <w:lang w:val="x-none"/>
    </w:rPr>
  </w:style>
  <w:style w:type="paragraph" w:styleId="a5">
    <w:name w:val="header"/>
    <w:basedOn w:val="a"/>
    <w:link w:val="a6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9">
    <w:name w:val="Body Text Indent"/>
    <w:basedOn w:val="a"/>
    <w:link w:val="aa"/>
    <w:semiHidden/>
    <w:unhideWhenUsed/>
    <w:rsid w:val="00F4326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F432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Plain Text"/>
    <w:basedOn w:val="a"/>
    <w:link w:val="ac"/>
    <w:uiPriority w:val="99"/>
    <w:semiHidden/>
    <w:unhideWhenUsed/>
    <w:rsid w:val="00F43262"/>
    <w:rPr>
      <w:rFonts w:ascii="Calibri" w:eastAsia="Times New Roman" w:hAnsi="Calibri" w:cs="Times New Roman"/>
      <w:szCs w:val="21"/>
      <w:lang w:val="x-none"/>
    </w:rPr>
  </w:style>
  <w:style w:type="character" w:customStyle="1" w:styleId="ac">
    <w:name w:val="Текст Знак"/>
    <w:basedOn w:val="a0"/>
    <w:link w:val="ab"/>
    <w:uiPriority w:val="99"/>
    <w:semiHidden/>
    <w:rsid w:val="00F43262"/>
    <w:rPr>
      <w:rFonts w:ascii="Calibri" w:eastAsia="Times New Roman" w:hAnsi="Calibri" w:cs="Times New Roman"/>
      <w:szCs w:val="21"/>
      <w:lang w:val="x-none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F43262"/>
    <w:rPr>
      <w:b/>
      <w:bCs/>
    </w:rPr>
  </w:style>
  <w:style w:type="character" w:customStyle="1" w:styleId="ae">
    <w:name w:val="Тема примечания Знак"/>
    <w:basedOn w:val="a4"/>
    <w:link w:val="ad"/>
    <w:uiPriority w:val="99"/>
    <w:semiHidden/>
    <w:rsid w:val="00F4326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">
    <w:name w:val="Balloon Text"/>
    <w:basedOn w:val="a"/>
    <w:link w:val="af0"/>
    <w:uiPriority w:val="99"/>
    <w:semiHidden/>
    <w:unhideWhenUsed/>
    <w:rsid w:val="00F4326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F43262"/>
    <w:rPr>
      <w:rFonts w:ascii="Tahoma" w:eastAsia="Calibri" w:hAnsi="Tahoma" w:cs="Times New Roman"/>
      <w:sz w:val="16"/>
      <w:szCs w:val="16"/>
      <w:lang w:val="x-none"/>
    </w:rPr>
  </w:style>
  <w:style w:type="paragraph" w:styleId="af1">
    <w:name w:val="List Paragraph"/>
    <w:basedOn w:val="a"/>
    <w:uiPriority w:val="34"/>
    <w:qFormat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Стиль3 Знак"/>
    <w:link w:val="30"/>
    <w:locked/>
    <w:rsid w:val="00F43262"/>
    <w:rPr>
      <w:rFonts w:ascii="Arial" w:eastAsia="Times New Roman" w:hAnsi="Arial" w:cs="Arial"/>
      <w:lang w:val="x-none" w:eastAsia="x-none"/>
    </w:rPr>
  </w:style>
  <w:style w:type="paragraph" w:customStyle="1" w:styleId="30">
    <w:name w:val="Стиль3"/>
    <w:basedOn w:val="a"/>
    <w:link w:val="3"/>
    <w:rsid w:val="00F43262"/>
    <w:pPr>
      <w:keepLines/>
      <w:spacing w:line="360" w:lineRule="auto"/>
      <w:ind w:firstLine="567"/>
      <w:jc w:val="both"/>
    </w:pPr>
    <w:rPr>
      <w:rFonts w:ascii="Arial" w:eastAsia="Times New Roman" w:hAnsi="Arial" w:cs="Arial"/>
      <w:lang w:val="x-none" w:eastAsia="x-none"/>
    </w:rPr>
  </w:style>
  <w:style w:type="character" w:styleId="af2">
    <w:name w:val="annotation reference"/>
    <w:uiPriority w:val="99"/>
    <w:semiHidden/>
    <w:unhideWhenUsed/>
    <w:rsid w:val="00F43262"/>
    <w:rPr>
      <w:sz w:val="16"/>
      <w:szCs w:val="16"/>
    </w:rPr>
  </w:style>
  <w:style w:type="character" w:customStyle="1" w:styleId="FontStyle39">
    <w:name w:val="Font Style39"/>
    <w:uiPriority w:val="99"/>
    <w:rsid w:val="00F43262"/>
    <w:rPr>
      <w:rFonts w:ascii="Times New Roman" w:hAnsi="Times New Roman" w:cs="Times New Roman" w:hint="default"/>
      <w:b/>
      <w:bCs/>
      <w:sz w:val="28"/>
      <w:szCs w:val="28"/>
    </w:rPr>
  </w:style>
  <w:style w:type="table" w:styleId="af3">
    <w:name w:val="Table Grid"/>
    <w:basedOn w:val="a1"/>
    <w:uiPriority w:val="59"/>
    <w:rsid w:val="00F4326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06526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95130">
              <w:marLeft w:val="0"/>
              <w:marRight w:val="135"/>
              <w:marTop w:val="0"/>
              <w:marBottom w:val="225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</w:divsChild>
        </w:div>
        <w:div w:id="11421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0D856-9571-46FE-A128-2D63BD38C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Сат Камиль Бмыжапович</dc:creator>
  <cp:lastModifiedBy>Черепанов Владимир Александрович</cp:lastModifiedBy>
  <cp:revision>2</cp:revision>
  <dcterms:created xsi:type="dcterms:W3CDTF">2018-11-02T03:32:00Z</dcterms:created>
  <dcterms:modified xsi:type="dcterms:W3CDTF">2018-11-02T03:32:00Z</dcterms:modified>
</cp:coreProperties>
</file>