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1F6E89" w:rsidP="00B85B07">
      <w:pPr>
        <w:widowControl w:val="0"/>
        <w:jc w:val="center"/>
        <w:rPr>
          <w:b/>
          <w:sz w:val="24"/>
          <w:szCs w:val="24"/>
          <w:lang w:val="ru-RU"/>
        </w:rPr>
      </w:pPr>
      <w:r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B85B07">
        <w:rPr>
          <w:szCs w:val="24"/>
        </w:rPr>
        <w:t xml:space="preserve">8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АО "</w:t>
      </w:r>
      <w:proofErr w:type="spellStart"/>
      <w:r w:rsidRPr="0091681F">
        <w:rPr>
          <w:sz w:val="24"/>
          <w:szCs w:val="24"/>
          <w:lang w:val="ru-RU"/>
        </w:rPr>
        <w:t>Тываэнерго</w:t>
      </w:r>
      <w:proofErr w:type="spellEnd"/>
      <w:r w:rsidRPr="0091681F">
        <w:rPr>
          <w:sz w:val="24"/>
          <w:szCs w:val="24"/>
          <w:lang w:val="ru-RU"/>
        </w:rPr>
        <w:t xml:space="preserve">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       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1355FE">
        <w:rPr>
          <w:sz w:val="24"/>
          <w:szCs w:val="24"/>
          <w:lang w:val="ru-RU"/>
        </w:rPr>
        <w:t xml:space="preserve">    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1355FE">
        <w:rPr>
          <w:sz w:val="24"/>
          <w:szCs w:val="24"/>
          <w:lang w:val="ru-RU"/>
        </w:rPr>
        <w:t xml:space="preserve">     </w:t>
      </w:r>
      <w:r w:rsidR="0008209E" w:rsidRPr="0008209E">
        <w:rPr>
          <w:sz w:val="24"/>
          <w:szCs w:val="24"/>
          <w:lang w:val="ru-RU"/>
        </w:rPr>
        <w:t xml:space="preserve">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790F85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790F85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1.2.Покупатель обязуется принять и своевременно оплатить ГСМ в порядке, определенном настоящим Договором.</w:t>
      </w:r>
    </w:p>
    <w:p w:rsidR="00790F85" w:rsidRDefault="00790F85" w:rsidP="00790F85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rFonts w:eastAsia="SimSun"/>
          <w:sz w:val="22"/>
          <w:szCs w:val="22"/>
        </w:rPr>
        <w:t xml:space="preserve">1.3. </w:t>
      </w:r>
      <w:proofErr w:type="gramStart"/>
      <w:r w:rsidRPr="005B21EB">
        <w:rPr>
          <w:rFonts w:eastAsia="SimSun"/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</w:t>
      </w:r>
      <w:r>
        <w:rPr>
          <w:rFonts w:eastAsia="SimSun"/>
          <w:sz w:val="22"/>
          <w:szCs w:val="22"/>
        </w:rPr>
        <w:t>нения штрафных санкций от общей суммы договора</w:t>
      </w:r>
      <w:r w:rsidRPr="005B21EB">
        <w:rPr>
          <w:rFonts w:eastAsia="SimSun"/>
          <w:sz w:val="22"/>
          <w:szCs w:val="22"/>
        </w:rPr>
        <w:t>, указанно</w:t>
      </w:r>
      <w:r>
        <w:rPr>
          <w:rFonts w:eastAsia="SimSun"/>
          <w:sz w:val="22"/>
          <w:szCs w:val="22"/>
        </w:rPr>
        <w:t>й</w:t>
      </w:r>
      <w:r w:rsidRPr="005B21EB">
        <w:rPr>
          <w:rFonts w:eastAsia="SimSun"/>
          <w:sz w:val="22"/>
          <w:szCs w:val="22"/>
        </w:rPr>
        <w:t xml:space="preserve"> в </w:t>
      </w:r>
      <w:r>
        <w:rPr>
          <w:rFonts w:eastAsia="SimSun"/>
          <w:sz w:val="22"/>
          <w:szCs w:val="22"/>
        </w:rPr>
        <w:t xml:space="preserve">пункте 2.1. </w:t>
      </w:r>
      <w:r w:rsidRPr="005B21EB">
        <w:rPr>
          <w:rFonts w:eastAsia="SimSun"/>
          <w:sz w:val="22"/>
          <w:szCs w:val="22"/>
        </w:rPr>
        <w:t>настояще</w:t>
      </w:r>
      <w:r>
        <w:rPr>
          <w:rFonts w:eastAsia="SimSun"/>
          <w:sz w:val="22"/>
          <w:szCs w:val="22"/>
        </w:rPr>
        <w:t xml:space="preserve">го </w:t>
      </w:r>
      <w:r w:rsidRPr="005B21EB">
        <w:rPr>
          <w:rFonts w:eastAsia="SimSun"/>
          <w:sz w:val="22"/>
          <w:szCs w:val="22"/>
        </w:rPr>
        <w:t>договор</w:t>
      </w:r>
      <w:r>
        <w:rPr>
          <w:rFonts w:eastAsia="SimSun"/>
          <w:sz w:val="22"/>
          <w:szCs w:val="22"/>
        </w:rPr>
        <w:t>а</w:t>
      </w:r>
      <w:r w:rsidRPr="005B21EB">
        <w:rPr>
          <w:rFonts w:eastAsia="SimSun"/>
          <w:sz w:val="22"/>
          <w:szCs w:val="22"/>
        </w:rPr>
        <w:t>, в связи, с чем Поставщик обязуется подписать направленное в его адрес Покупателем дополнительное соглашение к настоящему Договору</w:t>
      </w:r>
      <w:r>
        <w:rPr>
          <w:rFonts w:eastAsia="SimSun"/>
          <w:sz w:val="22"/>
          <w:szCs w:val="22"/>
        </w:rPr>
        <w:t>.</w:t>
      </w:r>
      <w:proofErr w:type="gramEnd"/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972687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972687" w:rsidRPr="00B9605C">
        <w:rPr>
          <w:sz w:val="24"/>
          <w:szCs w:val="24"/>
        </w:rPr>
        <w:t>417 046,14</w:t>
      </w:r>
      <w:r w:rsidR="00972687" w:rsidRPr="00972687">
        <w:rPr>
          <w:i/>
          <w:sz w:val="24"/>
          <w:szCs w:val="24"/>
        </w:rPr>
        <w:t xml:space="preserve"> </w:t>
      </w:r>
      <w:r w:rsidR="001355FE" w:rsidRPr="00972687">
        <w:rPr>
          <w:sz w:val="24"/>
          <w:szCs w:val="24"/>
        </w:rPr>
        <w:t>руб</w:t>
      </w:r>
      <w:r w:rsidR="00A312FC" w:rsidRPr="00972687">
        <w:rPr>
          <w:sz w:val="24"/>
          <w:szCs w:val="24"/>
        </w:rPr>
        <w:t>л</w:t>
      </w:r>
      <w:r w:rsidR="00427BD7" w:rsidRPr="00972687">
        <w:rPr>
          <w:sz w:val="24"/>
          <w:szCs w:val="24"/>
        </w:rPr>
        <w:t>я</w:t>
      </w:r>
      <w:r w:rsidR="003167F6" w:rsidRPr="00972687">
        <w:rPr>
          <w:sz w:val="24"/>
          <w:szCs w:val="24"/>
        </w:rPr>
        <w:t xml:space="preserve">, в том числе НДС </w:t>
      </w:r>
      <w:r w:rsidR="00972687" w:rsidRPr="00972687">
        <w:rPr>
          <w:sz w:val="24"/>
          <w:szCs w:val="24"/>
        </w:rPr>
        <w:t>20</w:t>
      </w:r>
      <w:r w:rsidR="003167F6" w:rsidRPr="00972687">
        <w:rPr>
          <w:sz w:val="24"/>
          <w:szCs w:val="24"/>
        </w:rPr>
        <w:t xml:space="preserve">% </w:t>
      </w:r>
      <w:r w:rsidR="0099558C" w:rsidRPr="00972687">
        <w:rPr>
          <w:sz w:val="24"/>
          <w:szCs w:val="24"/>
        </w:rPr>
        <w:t xml:space="preserve"> </w:t>
      </w:r>
      <w:r w:rsidR="00972687" w:rsidRPr="00972687">
        <w:rPr>
          <w:sz w:val="24"/>
          <w:szCs w:val="24"/>
        </w:rPr>
        <w:t>69 507,69</w:t>
      </w:r>
      <w:r w:rsidR="001355FE" w:rsidRPr="00972687">
        <w:rPr>
          <w:sz w:val="24"/>
          <w:szCs w:val="24"/>
        </w:rPr>
        <w:t xml:space="preserve"> руб</w:t>
      </w:r>
      <w:r w:rsidR="0041062C" w:rsidRPr="00972687">
        <w:rPr>
          <w:sz w:val="24"/>
          <w:szCs w:val="24"/>
        </w:rPr>
        <w:t>л</w:t>
      </w:r>
      <w:r w:rsidR="001F6E89" w:rsidRPr="00972687">
        <w:rPr>
          <w:sz w:val="24"/>
          <w:szCs w:val="24"/>
        </w:rPr>
        <w:t>ь</w:t>
      </w:r>
      <w:r w:rsidRPr="00972687">
        <w:rPr>
          <w:bCs/>
          <w:sz w:val="24"/>
          <w:szCs w:val="24"/>
        </w:rPr>
        <w:t>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 xml:space="preserve">Место передачи талонов: </w:t>
      </w:r>
      <w:proofErr w:type="spellStart"/>
      <w:r w:rsidR="00EE32F4" w:rsidRPr="00EE32F4">
        <w:rPr>
          <w:sz w:val="24"/>
          <w:szCs w:val="24"/>
          <w:lang w:val="ru-RU"/>
        </w:rPr>
        <w:t>г</w:t>
      </w:r>
      <w:proofErr w:type="gramStart"/>
      <w:r w:rsidR="00EE32F4" w:rsidRPr="00EE32F4">
        <w:rPr>
          <w:sz w:val="24"/>
          <w:szCs w:val="24"/>
          <w:lang w:val="ru-RU"/>
        </w:rPr>
        <w:t>.К</w:t>
      </w:r>
      <w:proofErr w:type="gramEnd"/>
      <w:r w:rsidR="00EE32F4" w:rsidRPr="00EE32F4">
        <w:rPr>
          <w:sz w:val="24"/>
          <w:szCs w:val="24"/>
          <w:lang w:val="ru-RU"/>
        </w:rPr>
        <w:t>ызыл</w:t>
      </w:r>
      <w:proofErr w:type="spellEnd"/>
      <w:r w:rsidR="00EE32F4" w:rsidRPr="00EE32F4">
        <w:rPr>
          <w:sz w:val="24"/>
          <w:szCs w:val="24"/>
          <w:lang w:val="ru-RU"/>
        </w:rPr>
        <w:t xml:space="preserve">, </w:t>
      </w:r>
      <w:proofErr w:type="spellStart"/>
      <w:r w:rsidR="00EE32F4" w:rsidRPr="00EE32F4">
        <w:rPr>
          <w:sz w:val="24"/>
          <w:szCs w:val="24"/>
          <w:lang w:val="ru-RU"/>
        </w:rPr>
        <w:t>ул.Колхозная</w:t>
      </w:r>
      <w:proofErr w:type="spell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</w:t>
      </w:r>
      <w:proofErr w:type="gramStart"/>
      <w:r w:rsidRPr="0091681F">
        <w:rPr>
          <w:sz w:val="24"/>
          <w:szCs w:val="24"/>
          <w:lang w:val="ru-RU"/>
        </w:rPr>
        <w:t>на</w:t>
      </w:r>
      <w:proofErr w:type="gramEnd"/>
      <w:r w:rsidRPr="0091681F">
        <w:rPr>
          <w:sz w:val="24"/>
          <w:szCs w:val="24"/>
          <w:lang w:val="ru-RU"/>
        </w:rPr>
        <w:t xml:space="preserve"> АЗС, </w:t>
      </w:r>
      <w:proofErr w:type="gramStart"/>
      <w:r w:rsidRPr="0091681F">
        <w:rPr>
          <w:sz w:val="24"/>
          <w:szCs w:val="24"/>
          <w:lang w:val="ru-RU"/>
        </w:rPr>
        <w:t>подтверждаемой</w:t>
      </w:r>
      <w:proofErr w:type="gramEnd"/>
      <w:r w:rsidRPr="0091681F">
        <w:rPr>
          <w:sz w:val="24"/>
          <w:szCs w:val="24"/>
          <w:lang w:val="ru-RU"/>
        </w:rPr>
        <w:t xml:space="preserve">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3870D8">
        <w:t>Тываэнерго</w:t>
      </w:r>
      <w:proofErr w:type="spellEnd"/>
      <w:r w:rsidRPr="003870D8">
        <w:t>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C73CAF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C73CAF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C73CAF" w:rsidRPr="00C73CAF">
        <w:rPr>
          <w:sz w:val="24"/>
          <w:szCs w:val="24"/>
          <w:lang w:val="ru-RU"/>
        </w:rPr>
        <w:t>Батурин Николай Владимирович, тел.:+7</w:t>
      </w:r>
      <w:r w:rsidR="00C73CAF" w:rsidRPr="00C73CAF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73CAF" w:rsidRPr="00C73CAF">
        <w:rPr>
          <w:sz w:val="24"/>
          <w:szCs w:val="24"/>
          <w:lang w:val="ru-RU"/>
        </w:rPr>
        <w:t xml:space="preserve">, </w:t>
      </w:r>
      <w:r w:rsidR="00C73CAF">
        <w:rPr>
          <w:sz w:val="24"/>
          <w:szCs w:val="24"/>
        </w:rPr>
        <w:t>e</w:t>
      </w:r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mail</w:t>
      </w:r>
      <w:r w:rsidR="00C73CAF" w:rsidRPr="00C73CAF">
        <w:rPr>
          <w:sz w:val="24"/>
          <w:szCs w:val="24"/>
          <w:lang w:val="ru-RU"/>
        </w:rPr>
        <w:t xml:space="preserve">: </w:t>
      </w:r>
      <w:proofErr w:type="spellStart"/>
      <w:r w:rsidR="00C73CAF">
        <w:rPr>
          <w:sz w:val="24"/>
          <w:szCs w:val="24"/>
        </w:rPr>
        <w:t>BaturinNV</w:t>
      </w:r>
      <w:proofErr w:type="spellEnd"/>
      <w:r w:rsidR="00C73CAF" w:rsidRPr="00C73CAF">
        <w:rPr>
          <w:sz w:val="24"/>
          <w:szCs w:val="24"/>
          <w:lang w:val="ru-RU"/>
        </w:rPr>
        <w:t>@</w:t>
      </w:r>
      <w:proofErr w:type="spellStart"/>
      <w:r w:rsidR="00C73CAF">
        <w:rPr>
          <w:sz w:val="24"/>
          <w:szCs w:val="24"/>
        </w:rPr>
        <w:t>tuva</w:t>
      </w:r>
      <w:proofErr w:type="spellEnd"/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mrsk</w:t>
      </w:r>
      <w:proofErr w:type="spellEnd"/>
      <w:r w:rsidR="00C73CAF" w:rsidRPr="00C73CAF">
        <w:rPr>
          <w:sz w:val="24"/>
          <w:szCs w:val="24"/>
          <w:lang w:val="ru-RU"/>
        </w:rPr>
        <w:t>-</w:t>
      </w:r>
      <w:r w:rsidR="00C73CAF">
        <w:rPr>
          <w:sz w:val="24"/>
          <w:szCs w:val="24"/>
        </w:rPr>
        <w:t>sib</w:t>
      </w:r>
      <w:r w:rsidR="00C73CAF" w:rsidRPr="00C73CAF">
        <w:rPr>
          <w:sz w:val="24"/>
          <w:szCs w:val="24"/>
          <w:lang w:val="ru-RU"/>
        </w:rPr>
        <w:t>.</w:t>
      </w:r>
      <w:proofErr w:type="spellStart"/>
      <w:r w:rsidR="00C73CAF">
        <w:rPr>
          <w:sz w:val="24"/>
          <w:szCs w:val="24"/>
        </w:rPr>
        <w:t>ru</w:t>
      </w:r>
      <w:proofErr w:type="spellEnd"/>
      <w:r w:rsidR="00C73CAF" w:rsidRPr="00C73CAF">
        <w:rPr>
          <w:sz w:val="24"/>
          <w:szCs w:val="24"/>
          <w:lang w:val="ru-RU"/>
        </w:rPr>
        <w:t xml:space="preserve">. Часы работы: </w:t>
      </w:r>
      <w:proofErr w:type="spellStart"/>
      <w:r w:rsidR="00C73CAF" w:rsidRPr="00C73CAF">
        <w:rPr>
          <w:sz w:val="24"/>
          <w:szCs w:val="24"/>
          <w:lang w:val="ru-RU"/>
        </w:rPr>
        <w:t>Пн</w:t>
      </w:r>
      <w:proofErr w:type="spellEnd"/>
      <w:r w:rsidR="00C73CAF" w:rsidRPr="00C73CAF">
        <w:rPr>
          <w:sz w:val="24"/>
          <w:szCs w:val="24"/>
          <w:lang w:val="ru-RU"/>
        </w:rPr>
        <w:t xml:space="preserve"> - </w:t>
      </w:r>
      <w:proofErr w:type="spellStart"/>
      <w:r w:rsidR="00C73CAF" w:rsidRPr="00C73CAF">
        <w:rPr>
          <w:sz w:val="24"/>
          <w:szCs w:val="24"/>
          <w:lang w:val="ru-RU"/>
        </w:rPr>
        <w:t>Чт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8.00-17.00; </w:t>
      </w:r>
      <w:proofErr w:type="spellStart"/>
      <w:r w:rsidR="00C73CAF" w:rsidRPr="00C73CAF">
        <w:rPr>
          <w:sz w:val="24"/>
          <w:szCs w:val="24"/>
          <w:lang w:val="ru-RU"/>
        </w:rPr>
        <w:t>Пт</w:t>
      </w:r>
      <w:proofErr w:type="spellEnd"/>
      <w:r w:rsidR="00C73CAF" w:rsidRPr="00C73CAF">
        <w:rPr>
          <w:sz w:val="24"/>
          <w:szCs w:val="24"/>
          <w:lang w:val="ru-RU"/>
        </w:rPr>
        <w:t xml:space="preserve"> с 8.00-12.00</w:t>
      </w:r>
      <w:r w:rsidR="00670F9D" w:rsidRPr="0091681F">
        <w:rPr>
          <w:bCs/>
          <w:sz w:val="24"/>
          <w:szCs w:val="24"/>
          <w:lang w:val="ru-RU"/>
        </w:rPr>
        <w:t>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в результате реорганизации путем присоединения к ПАО "МРСК Сибири", все права обязанности АО «</w:t>
      </w:r>
      <w:proofErr w:type="spellStart"/>
      <w:r w:rsidR="00480C3D" w:rsidRPr="0091681F">
        <w:t>Тываэнерго</w:t>
      </w:r>
      <w:proofErr w:type="spellEnd"/>
      <w:r w:rsidR="00480C3D" w:rsidRPr="0091681F">
        <w:t>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</w:t>
            </w:r>
            <w:proofErr w:type="spellStart"/>
            <w:r w:rsidRPr="00C73CAF">
              <w:rPr>
                <w:bCs/>
                <w:sz w:val="24"/>
                <w:szCs w:val="24"/>
                <w:lang w:val="ru-RU"/>
              </w:rPr>
              <w:t>Тываэнерго</w:t>
            </w:r>
            <w:proofErr w:type="spellEnd"/>
            <w:r w:rsidRPr="00C73CAF">
              <w:rPr>
                <w:bCs/>
                <w:sz w:val="24"/>
                <w:szCs w:val="24"/>
                <w:lang w:val="ru-RU"/>
              </w:rPr>
              <w:t>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EE32F4" w:rsidRPr="00790F85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C507D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В</w:t>
            </w:r>
            <w:r w:rsidR="00D64F1F">
              <w:rPr>
                <w:sz w:val="24"/>
                <w:szCs w:val="24"/>
                <w:lang w:val="ru-RU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614A0E" w:rsidRPr="00614A0E" w:rsidRDefault="001355FE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5419" w:type="dxa"/>
            <w:vAlign w:val="center"/>
          </w:tcPr>
          <w:p w:rsidR="00EE32F4" w:rsidRP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 w:rsidR="008367E8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EE32F4" w:rsidRDefault="00EE32F4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0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0"/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</w:rPr>
      </w:pPr>
      <w:r w:rsidRPr="0091681F">
        <w:rPr>
          <w:b/>
          <w:caps/>
          <w:sz w:val="24"/>
          <w:szCs w:val="24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790F85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90296">
          <w:pgSz w:w="15840" w:h="12240" w:orient="landscape"/>
          <w:pgMar w:top="992" w:right="1134" w:bottom="476" w:left="425" w:header="720" w:footer="720" w:gutter="0"/>
          <w:cols w:space="720"/>
        </w:sectPr>
      </w:pPr>
    </w:p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7A8"/>
    <w:rsid w:val="00712C06"/>
    <w:rsid w:val="00713954"/>
    <w:rsid w:val="00713D56"/>
    <w:rsid w:val="00713EBF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0F8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semiHidden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C28B9-A8C1-4C9E-8566-195EE754E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3455</Words>
  <Characters>19700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Ромашенко Елена Михайловна</cp:lastModifiedBy>
  <cp:revision>4</cp:revision>
  <cp:lastPrinted>2013-04-17T03:49:00Z</cp:lastPrinted>
  <dcterms:created xsi:type="dcterms:W3CDTF">2019-09-10T01:13:00Z</dcterms:created>
  <dcterms:modified xsi:type="dcterms:W3CDTF">2019-09-11T06:38:00Z</dcterms:modified>
</cp:coreProperties>
</file>