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EF5002">
              <w:rPr>
                <w:bCs/>
              </w:rPr>
              <w:t>21</w:t>
            </w:r>
            <w:r w:rsidR="00E7685B">
              <w:rPr>
                <w:bCs/>
              </w:rPr>
              <w:t xml:space="preserve">» </w:t>
            </w:r>
            <w:r w:rsidR="00986D60">
              <w:rPr>
                <w:bCs/>
              </w:rPr>
              <w:t>октября</w:t>
            </w:r>
            <w:r w:rsidR="00D7287B">
              <w:rPr>
                <w:bCs/>
              </w:rPr>
              <w:t xml:space="preserve">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D60206" w:rsidRPr="00D60206">
        <w:rPr>
          <w:rFonts w:ascii="Times New Roman CYR" w:hAnsi="Times New Roman CYR"/>
          <w:b/>
          <w:sz w:val="28"/>
          <w:szCs w:val="28"/>
        </w:rPr>
        <w:t>20.1-11/1.2-0006</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г. </w:t>
      </w:r>
      <w:r w:rsidR="00D60206">
        <w:rPr>
          <w:b/>
          <w:bCs/>
          <w:color w:val="000000"/>
          <w:sz w:val="28"/>
          <w:szCs w:val="22"/>
        </w:rPr>
        <w:t>Кызыл</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F13E9D">
          <w:rPr>
            <w:noProof/>
            <w:webHidden/>
          </w:rPr>
          <w:t>2</w:t>
        </w:r>
        <w:r>
          <w:rPr>
            <w:noProof/>
            <w:webHidden/>
          </w:rPr>
          <w:fldChar w:fldCharType="end"/>
        </w:r>
      </w:hyperlink>
    </w:p>
    <w:p w:rsidR="002136D3" w:rsidRDefault="00E932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E932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F13E9D">
          <w:rPr>
            <w:noProof/>
            <w:webHidden/>
          </w:rPr>
          <w:t>5</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F13E9D">
          <w:rPr>
            <w:noProof/>
            <w:webHidden/>
          </w:rPr>
          <w:t>5</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F13E9D">
          <w:rPr>
            <w:noProof/>
            <w:webHidden/>
          </w:rPr>
          <w:t>6</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F13E9D">
          <w:rPr>
            <w:noProof/>
            <w:webHidden/>
          </w:rPr>
          <w:t>6</w:t>
        </w:r>
        <w:r w:rsidR="00C25639">
          <w:rPr>
            <w:noProof/>
            <w:webHidden/>
          </w:rPr>
          <w:fldChar w:fldCharType="end"/>
        </w:r>
      </w:hyperlink>
    </w:p>
    <w:p w:rsidR="002136D3" w:rsidRDefault="00E932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E932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F13E9D">
          <w:rPr>
            <w:noProof/>
            <w:webHidden/>
          </w:rPr>
          <w:t>9</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F13E9D">
          <w:rPr>
            <w:noProof/>
            <w:webHidden/>
          </w:rPr>
          <w:t>9</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F13E9D">
          <w:rPr>
            <w:noProof/>
            <w:webHidden/>
          </w:rPr>
          <w:t>10</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F13E9D">
          <w:rPr>
            <w:noProof/>
            <w:webHidden/>
          </w:rPr>
          <w:t>11</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F13E9D">
          <w:rPr>
            <w:noProof/>
            <w:webHidden/>
          </w:rPr>
          <w:t>12</w:t>
        </w:r>
        <w:r w:rsidR="00C25639" w:rsidRPr="00E63DC9">
          <w:rPr>
            <w:noProof/>
            <w:webHidden/>
          </w:rPr>
          <w:fldChar w:fldCharType="end"/>
        </w:r>
      </w:hyperlink>
    </w:p>
    <w:p w:rsidR="002136D3" w:rsidRDefault="00E932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E932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F13E9D">
          <w:rPr>
            <w:noProof/>
            <w:webHidden/>
          </w:rPr>
          <w:t>15</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F13E9D">
          <w:rPr>
            <w:noProof/>
            <w:webHidden/>
          </w:rPr>
          <w:t>16</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E932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F13E9D">
          <w:rPr>
            <w:noProof/>
            <w:webHidden/>
          </w:rPr>
          <w:t>19</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F13E9D">
          <w:rPr>
            <w:noProof/>
            <w:webHidden/>
          </w:rPr>
          <w:t>19</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F13E9D">
          <w:rPr>
            <w:noProof/>
            <w:webHidden/>
          </w:rPr>
          <w:t>20</w:t>
        </w:r>
        <w:r w:rsidR="00C25639">
          <w:rPr>
            <w:noProof/>
            <w:webHidden/>
          </w:rPr>
          <w:fldChar w:fldCharType="end"/>
        </w:r>
      </w:hyperlink>
    </w:p>
    <w:p w:rsidR="002136D3" w:rsidRDefault="00E9326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F13E9D">
          <w:rPr>
            <w:noProof/>
            <w:webHidden/>
          </w:rPr>
          <w:t>21</w:t>
        </w:r>
        <w:r w:rsidR="00C25639">
          <w:rPr>
            <w:noProof/>
            <w:webHidden/>
          </w:rPr>
          <w:fldChar w:fldCharType="end"/>
        </w:r>
      </w:hyperlink>
    </w:p>
    <w:p w:rsidR="002136D3" w:rsidRDefault="00E932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F13E9D">
          <w:rPr>
            <w:noProof/>
            <w:webHidden/>
          </w:rPr>
          <w:t>22</w:t>
        </w:r>
        <w:r w:rsidR="00C25639">
          <w:rPr>
            <w:noProof/>
            <w:webHidden/>
          </w:rPr>
          <w:fldChar w:fldCharType="end"/>
        </w:r>
      </w:hyperlink>
    </w:p>
    <w:p w:rsidR="002136D3" w:rsidRDefault="00E9326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F13E9D">
          <w:rPr>
            <w:noProof/>
            <w:webHidden/>
          </w:rPr>
          <w:t>32</w:t>
        </w:r>
        <w:r w:rsidR="00C25639">
          <w:rPr>
            <w:noProof/>
            <w:webHidden/>
          </w:rPr>
          <w:fldChar w:fldCharType="end"/>
        </w:r>
      </w:hyperlink>
    </w:p>
    <w:p w:rsidR="002136D3" w:rsidRDefault="00E93261">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F13E9D">
          <w:rPr>
            <w:noProof/>
            <w:webHidden/>
          </w:rPr>
          <w:t>32</w:t>
        </w:r>
        <w:r w:rsidR="00C25639">
          <w:rPr>
            <w:noProof/>
            <w:webHidden/>
          </w:rPr>
          <w:fldChar w:fldCharType="end"/>
        </w:r>
      </w:hyperlink>
    </w:p>
    <w:p w:rsidR="002136D3" w:rsidRDefault="00E93261">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F13E9D">
          <w:rPr>
            <w:noProof/>
            <w:webHidden/>
          </w:rPr>
          <w:t>33</w:t>
        </w:r>
        <w:r w:rsidR="00C25639">
          <w:rPr>
            <w:noProof/>
            <w:webHidden/>
          </w:rPr>
          <w:fldChar w:fldCharType="end"/>
        </w:r>
      </w:hyperlink>
    </w:p>
    <w:p w:rsidR="002136D3" w:rsidRDefault="00E93261">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F13E9D">
          <w:rPr>
            <w:b/>
            <w:bCs/>
            <w:noProof/>
            <w:webHidden/>
          </w:rPr>
          <w:t>Ошибка! Закладка не определена.</w:t>
        </w:r>
        <w:r w:rsidR="00C25639">
          <w:rPr>
            <w:noProof/>
            <w:webHidden/>
          </w:rPr>
          <w:fldChar w:fldCharType="end"/>
        </w:r>
      </w:hyperlink>
    </w:p>
    <w:p w:rsidR="002136D3" w:rsidRDefault="00E93261">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E93261">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F13E9D">
          <w:rPr>
            <w:noProof/>
            <w:webHidden/>
          </w:rPr>
          <w:t>36</w:t>
        </w:r>
        <w:r w:rsidR="00C25639">
          <w:rPr>
            <w:noProof/>
            <w:webHidden/>
          </w:rPr>
          <w:fldChar w:fldCharType="end"/>
        </w:r>
      </w:hyperlink>
    </w:p>
    <w:p w:rsidR="002136D3" w:rsidRDefault="00E93261">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F13E9D">
          <w:rPr>
            <w:noProof/>
            <w:webHidden/>
          </w:rPr>
          <w:t>38</w:t>
        </w:r>
        <w:r w:rsidR="00C25639">
          <w:rPr>
            <w:noProof/>
            <w:webHidden/>
          </w:rPr>
          <w:fldChar w:fldCharType="end"/>
        </w:r>
      </w:hyperlink>
    </w:p>
    <w:p w:rsidR="002136D3" w:rsidRDefault="00E93261">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F13E9D">
          <w:rPr>
            <w:noProof/>
            <w:webHidden/>
          </w:rPr>
          <w:t>43</w:t>
        </w:r>
        <w:r w:rsidR="00C25639">
          <w:rPr>
            <w:noProof/>
            <w:webHidden/>
          </w:rPr>
          <w:fldChar w:fldCharType="end"/>
        </w:r>
      </w:hyperlink>
    </w:p>
    <w:p w:rsidR="002136D3" w:rsidRDefault="00E93261">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F13E9D">
          <w:rPr>
            <w:noProof/>
            <w:webHidden/>
          </w:rPr>
          <w:t>46</w:t>
        </w:r>
        <w:r w:rsidR="00C25639">
          <w:rPr>
            <w:noProof/>
            <w:webHidden/>
          </w:rPr>
          <w:fldChar w:fldCharType="end"/>
        </w:r>
      </w:hyperlink>
    </w:p>
    <w:p w:rsidR="002136D3" w:rsidRDefault="00E93261">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F13E9D">
          <w:rPr>
            <w:noProof/>
            <w:webHidden/>
          </w:rPr>
          <w:t>47</w:t>
        </w:r>
        <w:r w:rsidR="00C25639">
          <w:rPr>
            <w:noProof/>
            <w:webHidden/>
          </w:rPr>
          <w:fldChar w:fldCharType="end"/>
        </w:r>
      </w:hyperlink>
    </w:p>
    <w:p w:rsidR="002136D3" w:rsidRDefault="00E93261">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F13E9D">
          <w:rPr>
            <w:noProof/>
            <w:webHidden/>
          </w:rPr>
          <w:t>51</w:t>
        </w:r>
        <w:r w:rsidR="00C25639">
          <w:rPr>
            <w:noProof/>
            <w:webHidden/>
          </w:rPr>
          <w:fldChar w:fldCharType="end"/>
        </w:r>
      </w:hyperlink>
    </w:p>
    <w:p w:rsidR="002136D3" w:rsidRDefault="00E93261">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F13E9D">
          <w:rPr>
            <w:noProof/>
            <w:webHidden/>
          </w:rPr>
          <w:t>53</w:t>
        </w:r>
        <w:r w:rsidR="00C25639">
          <w:rPr>
            <w:noProof/>
            <w:webHidden/>
          </w:rPr>
          <w:fldChar w:fldCharType="end"/>
        </w:r>
      </w:hyperlink>
    </w:p>
    <w:p w:rsidR="002136D3" w:rsidRDefault="00E93261">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F13E9D">
          <w:rPr>
            <w:noProof/>
            <w:webHidden/>
          </w:rPr>
          <w:t>54</w:t>
        </w:r>
        <w:r w:rsidR="00C25639">
          <w:rPr>
            <w:noProof/>
            <w:webHidden/>
          </w:rPr>
          <w:fldChar w:fldCharType="end"/>
        </w:r>
      </w:hyperlink>
    </w:p>
    <w:p w:rsidR="002136D3" w:rsidRDefault="00E93261">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F13E9D">
          <w:rPr>
            <w:noProof/>
            <w:webHidden/>
          </w:rPr>
          <w:t>55</w:t>
        </w:r>
        <w:r w:rsidR="00C25639" w:rsidRPr="00E63DC9">
          <w:rPr>
            <w:noProof/>
            <w:webHidden/>
          </w:rPr>
          <w:fldChar w:fldCharType="end"/>
        </w:r>
      </w:hyperlink>
    </w:p>
    <w:p w:rsidR="002136D3" w:rsidRDefault="00E9326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F13E9D">
          <w:rPr>
            <w:noProof/>
            <w:webHidden/>
          </w:rPr>
          <w:t>56</w:t>
        </w:r>
        <w:r w:rsidR="00C25639">
          <w:rPr>
            <w:noProof/>
            <w:webHidden/>
          </w:rPr>
          <w:fldChar w:fldCharType="end"/>
        </w:r>
      </w:hyperlink>
    </w:p>
    <w:p w:rsidR="002136D3" w:rsidRDefault="00E932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F13E9D">
          <w:rPr>
            <w:noProof/>
            <w:webHidden/>
          </w:rPr>
          <w:t>57</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F13E9D" w:rsidRPr="00F13E9D">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F13E9D" w:rsidRPr="00F13E9D">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F13E9D" w:rsidRPr="00F13E9D">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F13E9D" w:rsidRPr="00F13E9D">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4A3606" w:rsidRDefault="00DE1D2E" w:rsidP="00DE1D2E">
            <w:pPr>
              <w:rPr>
                <w:lang w:val="en-US"/>
              </w:rPr>
            </w:pPr>
            <w:r>
              <w:rPr>
                <w:lang w:val="en-US"/>
              </w:rPr>
              <w:t>E</w:t>
            </w:r>
            <w:r w:rsidRPr="004A3606">
              <w:rPr>
                <w:lang w:val="en-US"/>
              </w:rPr>
              <w:t>-</w:t>
            </w:r>
            <w:r>
              <w:rPr>
                <w:lang w:val="en-US"/>
              </w:rPr>
              <w:t>mail</w:t>
            </w:r>
            <w:r w:rsidRPr="004A3606">
              <w:rPr>
                <w:lang w:val="en-US"/>
              </w:rPr>
              <w:t xml:space="preserve">:  </w:t>
            </w:r>
            <w:r>
              <w:rPr>
                <w:lang w:val="en-US"/>
              </w:rPr>
              <w:t>tuvaenergo</w:t>
            </w:r>
            <w:r w:rsidRPr="004A3606">
              <w:rPr>
                <w:lang w:val="en-US"/>
              </w:rPr>
              <w:t>@</w:t>
            </w:r>
            <w:r>
              <w:rPr>
                <w:lang w:val="en-US"/>
              </w:rPr>
              <w:t>tuva</w:t>
            </w:r>
            <w:r w:rsidRPr="004A3606">
              <w:rPr>
                <w:lang w:val="en-US"/>
              </w:rPr>
              <w:t>.</w:t>
            </w:r>
            <w:r>
              <w:rPr>
                <w:lang w:val="en-US"/>
              </w:rPr>
              <w:t>mrsk</w:t>
            </w:r>
            <w:r w:rsidRPr="004A3606">
              <w:rPr>
                <w:lang w:val="en-US"/>
              </w:rPr>
              <w:t>-</w:t>
            </w:r>
            <w:r>
              <w:rPr>
                <w:lang w:val="en-US"/>
              </w:rPr>
              <w:t>sib</w:t>
            </w:r>
            <w:r w:rsidRPr="004A3606">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г. </w:t>
            </w:r>
            <w:r w:rsidR="003C1C2B">
              <w:t>Кызыл</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г. </w:t>
            </w:r>
            <w:r w:rsidR="00D60206">
              <w:t>Кызыл</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w:t>
            </w:r>
            <w:r w:rsidR="00425FE8" w:rsidRPr="00DE1D2E">
              <w:lastRenderedPageBreak/>
              <w:t xml:space="preserve">оказания услуг): </w:t>
            </w:r>
          </w:p>
          <w:p w:rsidR="00425FE8" w:rsidRPr="00A35009" w:rsidRDefault="00D7287B" w:rsidP="00425FE8">
            <w:pPr>
              <w:spacing w:after="0"/>
              <w:rPr>
                <w:color w:val="000000"/>
              </w:rPr>
            </w:pPr>
            <w:r w:rsidRPr="00A35009">
              <w:t>в течение 365 календарных дней с момента заключения (подписания) договора</w:t>
            </w:r>
            <w:r w:rsidR="00C3467A" w:rsidRPr="00A35009">
              <w:rPr>
                <w:color w:val="000000"/>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D60206" w:rsidRPr="00D60206">
              <w:t>2 072 945</w:t>
            </w:r>
            <w:r w:rsidRPr="00DE1D2E">
              <w:rPr>
                <w:bCs/>
                <w:lang w:eastAsia="ar-SA"/>
              </w:rPr>
              <w:t xml:space="preserve"> (</w:t>
            </w:r>
            <w:r w:rsidR="00D60206">
              <w:rPr>
                <w:bCs/>
                <w:lang w:eastAsia="ar-SA"/>
              </w:rPr>
              <w:t>два миллиона семьдесят две тысячи девятьсот сорок пять</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5D0AA2">
              <w:rPr>
                <w:bCs/>
                <w:lang w:eastAsia="ar-SA"/>
              </w:rPr>
              <w:t>ей</w:t>
            </w:r>
            <w:r w:rsidR="00DE1D2E" w:rsidRPr="00DE1D2E">
              <w:rPr>
                <w:bCs/>
                <w:lang w:eastAsia="ar-SA"/>
              </w:rPr>
              <w:t xml:space="preserve"> </w:t>
            </w:r>
            <w:r w:rsidR="005D0AA2">
              <w:rPr>
                <w:bCs/>
                <w:lang w:eastAsia="ar-SA"/>
              </w:rPr>
              <w:t>00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D60206">
              <w:t>414 589</w:t>
            </w:r>
            <w:r w:rsidRPr="00DE1D2E">
              <w:rPr>
                <w:bCs/>
                <w:lang w:eastAsia="ar-SA"/>
              </w:rPr>
              <w:t xml:space="preserve"> (</w:t>
            </w:r>
            <w:r w:rsidR="00D60206">
              <w:rPr>
                <w:bCs/>
                <w:lang w:eastAsia="ar-SA"/>
              </w:rPr>
              <w:t>четыреста четырнадцать тысяч пятьсот восемьдесят девять</w:t>
            </w:r>
            <w:r w:rsidRPr="00DE1D2E">
              <w:rPr>
                <w:bCs/>
                <w:lang w:eastAsia="ar-SA"/>
              </w:rPr>
              <w:t>)</w:t>
            </w:r>
            <w:r w:rsidR="00DE1D2E" w:rsidRPr="00DE1D2E">
              <w:rPr>
                <w:bCs/>
                <w:lang w:eastAsia="ar-SA"/>
              </w:rPr>
              <w:t xml:space="preserve"> рублей</w:t>
            </w:r>
            <w:r w:rsidRPr="00DE1D2E">
              <w:rPr>
                <w:bCs/>
                <w:lang w:eastAsia="ar-SA"/>
              </w:rPr>
              <w:t xml:space="preserve"> </w:t>
            </w:r>
            <w:r w:rsidR="005D0AA2">
              <w:rPr>
                <w:bCs/>
                <w:lang w:eastAsia="ar-SA"/>
              </w:rPr>
              <w:t>00</w:t>
            </w:r>
            <w:r w:rsidRPr="00DE1D2E">
              <w:rPr>
                <w:bCs/>
                <w:lang w:eastAsia="ar-SA"/>
              </w:rPr>
              <w:t xml:space="preserve"> копе</w:t>
            </w:r>
            <w:r w:rsidR="003338AC">
              <w:rPr>
                <w:bCs/>
                <w:lang w:eastAsia="ar-SA"/>
              </w:rPr>
              <w:t>ек</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D60206">
              <w:t>2 487 534</w:t>
            </w:r>
            <w:r w:rsidRPr="00DE1D2E">
              <w:rPr>
                <w:bCs/>
                <w:lang w:eastAsia="ar-SA"/>
              </w:rPr>
              <w:t xml:space="preserve"> (</w:t>
            </w:r>
            <w:r w:rsidR="00D60206">
              <w:rPr>
                <w:bCs/>
                <w:lang w:eastAsia="ar-SA"/>
              </w:rPr>
              <w:t>два миллиона четыреста восемьдесят семь тысяч пятьсот тридцать четыре</w:t>
            </w:r>
            <w:r w:rsidRPr="00DE1D2E">
              <w:rPr>
                <w:bCs/>
                <w:lang w:eastAsia="ar-SA"/>
              </w:rPr>
              <w:t>)</w:t>
            </w:r>
            <w:r w:rsidR="00DE1D2E" w:rsidRPr="00DE1D2E">
              <w:rPr>
                <w:bCs/>
                <w:lang w:eastAsia="ar-SA"/>
              </w:rPr>
              <w:t xml:space="preserve"> рубл</w:t>
            </w:r>
            <w:r w:rsidR="005D0AA2">
              <w:rPr>
                <w:bCs/>
                <w:lang w:eastAsia="ar-SA"/>
              </w:rPr>
              <w:t>я</w:t>
            </w:r>
            <w:r w:rsidR="00452766">
              <w:rPr>
                <w:bCs/>
                <w:lang w:eastAsia="ar-SA"/>
              </w:rPr>
              <w:t xml:space="preserve"> </w:t>
            </w:r>
            <w:r w:rsidR="005D0AA2">
              <w:rPr>
                <w:bCs/>
                <w:lang w:eastAsia="ar-SA"/>
              </w:rPr>
              <w:t>00</w:t>
            </w:r>
            <w:r w:rsidR="00536BB3">
              <w:rPr>
                <w:bCs/>
                <w:lang w:eastAsia="ar-SA"/>
              </w:rPr>
              <w:t xml:space="preserve"> копе</w:t>
            </w:r>
            <w:r w:rsidR="00F15B7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4A3606" w:rsidRPr="00AE0FAB" w:rsidRDefault="004A3606" w:rsidP="004A3606">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4A3606" w:rsidRPr="00AE0FAB" w:rsidRDefault="004A3606" w:rsidP="004A3606">
            <w:pPr>
              <w:pStyle w:val="Default"/>
              <w:jc w:val="both"/>
            </w:pPr>
          </w:p>
          <w:p w:rsidR="004A3606" w:rsidRPr="00AE0FAB" w:rsidRDefault="004A3606" w:rsidP="004A3606">
            <w:pPr>
              <w:pStyle w:val="Default"/>
              <w:jc w:val="both"/>
            </w:pPr>
            <w:r w:rsidRPr="00AE0FAB">
              <w:t>Дата начала срока подачи заявок: «</w:t>
            </w:r>
            <w:r>
              <w:t>22</w:t>
            </w:r>
            <w:r w:rsidRPr="00AE0FAB">
              <w:t xml:space="preserve">» </w:t>
            </w:r>
            <w:r>
              <w:t>октября 2020</w:t>
            </w:r>
            <w:r w:rsidRPr="00AE0FAB">
              <w:t xml:space="preserve"> года;</w:t>
            </w:r>
          </w:p>
          <w:p w:rsidR="004A3606" w:rsidRPr="00AE0FAB" w:rsidRDefault="004A3606" w:rsidP="004A3606">
            <w:pPr>
              <w:pStyle w:val="Default"/>
              <w:jc w:val="both"/>
            </w:pPr>
            <w:r w:rsidRPr="00AE0FAB">
              <w:t>Дата и время окончания срока, последний день срока подачи Заявок:</w:t>
            </w:r>
          </w:p>
          <w:p w:rsidR="004A3606" w:rsidRPr="00AE0FAB" w:rsidRDefault="004A3606" w:rsidP="004A3606">
            <w:pPr>
              <w:pStyle w:val="Default"/>
              <w:jc w:val="both"/>
            </w:pPr>
            <w:r w:rsidRPr="00AE0FAB">
              <w:t>«</w:t>
            </w:r>
            <w:r>
              <w:t>03</w:t>
            </w:r>
            <w:r w:rsidRPr="00AE0FAB">
              <w:t xml:space="preserve">» </w:t>
            </w:r>
            <w:r>
              <w:t>ноября 2020</w:t>
            </w:r>
            <w:r w:rsidRPr="00AE0FAB">
              <w:t xml:space="preserve"> года 10:00 (время московское)</w:t>
            </w:r>
          </w:p>
          <w:p w:rsidR="004A3606" w:rsidRPr="00AE0FAB" w:rsidRDefault="004A3606" w:rsidP="004A3606">
            <w:pPr>
              <w:pStyle w:val="Default"/>
              <w:jc w:val="both"/>
            </w:pPr>
          </w:p>
          <w:p w:rsidR="004A3606" w:rsidRPr="00AE0FAB" w:rsidRDefault="004A3606" w:rsidP="004A3606">
            <w:pPr>
              <w:pStyle w:val="Default"/>
              <w:jc w:val="both"/>
            </w:pPr>
            <w:r w:rsidRPr="00AE0FAB">
              <w:t>Вскрытие заявок:</w:t>
            </w:r>
          </w:p>
          <w:p w:rsidR="004A3606" w:rsidRPr="00AE0FAB" w:rsidRDefault="004A3606" w:rsidP="004A3606">
            <w:pPr>
              <w:pStyle w:val="Default"/>
              <w:jc w:val="both"/>
            </w:pPr>
            <w:r w:rsidRPr="00AE0FAB">
              <w:t>Дата начала проведения этапа: с момента окончания срока подачи заявок;</w:t>
            </w:r>
          </w:p>
          <w:p w:rsidR="004A3606" w:rsidRPr="00AE0FAB" w:rsidRDefault="004A3606" w:rsidP="004A3606">
            <w:pPr>
              <w:pStyle w:val="Default"/>
              <w:jc w:val="both"/>
            </w:pPr>
            <w:r w:rsidRPr="00AE0FAB">
              <w:t>Дата проведения этапа: «</w:t>
            </w:r>
            <w:r>
              <w:t>03</w:t>
            </w:r>
            <w:r w:rsidRPr="00AE0FAB">
              <w:t xml:space="preserve">» </w:t>
            </w:r>
            <w:r>
              <w:t>ноября 2020</w:t>
            </w:r>
            <w:r w:rsidRPr="00AE0FAB">
              <w:t xml:space="preserve"> года.</w:t>
            </w:r>
          </w:p>
          <w:p w:rsidR="004A3606" w:rsidRPr="00AE0FAB" w:rsidRDefault="004A3606" w:rsidP="004A3606">
            <w:pPr>
              <w:pStyle w:val="Default"/>
              <w:jc w:val="both"/>
            </w:pPr>
          </w:p>
          <w:p w:rsidR="004A3606" w:rsidRPr="00AE0FAB" w:rsidRDefault="004A3606" w:rsidP="004A3606">
            <w:pPr>
              <w:pStyle w:val="Default"/>
              <w:jc w:val="both"/>
            </w:pPr>
            <w:r w:rsidRPr="00AE0FAB">
              <w:t xml:space="preserve">Рассмотрение заявок: </w:t>
            </w:r>
          </w:p>
          <w:p w:rsidR="004A3606" w:rsidRPr="00AE0FAB" w:rsidRDefault="004A3606" w:rsidP="004A3606">
            <w:pPr>
              <w:pStyle w:val="Default"/>
              <w:jc w:val="both"/>
            </w:pPr>
            <w:r w:rsidRPr="00AE0FAB">
              <w:t>Дата проведения этапа: «</w:t>
            </w:r>
            <w:r>
              <w:t>11</w:t>
            </w:r>
            <w:r w:rsidRPr="00AE0FAB">
              <w:t xml:space="preserve">» </w:t>
            </w:r>
            <w:r>
              <w:t>декабря 2020</w:t>
            </w:r>
            <w:r w:rsidRPr="00AE0FAB">
              <w:t xml:space="preserve"> года.</w:t>
            </w:r>
          </w:p>
          <w:p w:rsidR="004A3606" w:rsidRPr="00AE0FAB" w:rsidRDefault="004A3606" w:rsidP="004A3606">
            <w:pPr>
              <w:pStyle w:val="Default"/>
              <w:jc w:val="both"/>
              <w:rPr>
                <w:color w:val="auto"/>
              </w:rPr>
            </w:pPr>
            <w:r w:rsidRPr="00AE0FAB">
              <w:rPr>
                <w:color w:val="auto"/>
              </w:rPr>
              <w:lastRenderedPageBreak/>
              <w:t xml:space="preserve">Переторжка: </w:t>
            </w:r>
          </w:p>
          <w:p w:rsidR="004A3606" w:rsidRPr="00AE0FAB" w:rsidRDefault="004A3606" w:rsidP="004A3606">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4A3606" w:rsidRPr="00AE0FAB" w:rsidRDefault="004A3606" w:rsidP="004A3606">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4A3606" w:rsidRPr="00AE0FAB" w:rsidRDefault="004A3606" w:rsidP="004A3606">
            <w:pPr>
              <w:pStyle w:val="Default"/>
              <w:jc w:val="both"/>
            </w:pPr>
          </w:p>
          <w:p w:rsidR="004A3606" w:rsidRPr="00AE0FAB" w:rsidRDefault="004A3606" w:rsidP="004A3606">
            <w:pPr>
              <w:pStyle w:val="Default"/>
              <w:jc w:val="both"/>
            </w:pPr>
            <w:r w:rsidRPr="00AE0FAB">
              <w:t>Подведение итогов:</w:t>
            </w:r>
          </w:p>
          <w:p w:rsidR="004A3606" w:rsidRDefault="004A3606" w:rsidP="004A3606">
            <w:pPr>
              <w:pStyle w:val="Default"/>
              <w:jc w:val="both"/>
            </w:pPr>
            <w:r w:rsidRPr="00AE0FAB">
              <w:t>Дата проведения этапа: «</w:t>
            </w:r>
            <w:r>
              <w:t>18</w:t>
            </w:r>
            <w:r w:rsidRPr="00AE0FAB">
              <w:t xml:space="preserve">» </w:t>
            </w:r>
            <w:r>
              <w:t>декабря 2020</w:t>
            </w:r>
            <w:r w:rsidRPr="00AE0FAB">
              <w:t xml:space="preserve"> года.</w:t>
            </w:r>
          </w:p>
          <w:p w:rsidR="004A3606" w:rsidRDefault="004A3606" w:rsidP="004A3606">
            <w:pPr>
              <w:pStyle w:val="Default"/>
              <w:jc w:val="both"/>
            </w:pPr>
          </w:p>
          <w:p w:rsidR="004A3606" w:rsidRPr="00217473" w:rsidRDefault="004A3606" w:rsidP="004A3606">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4A3606" w:rsidP="004A3606">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w:t>
            </w:r>
            <w:r w:rsidRPr="00187C12">
              <w:lastRenderedPageBreak/>
              <w:t>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w:t>
            </w:r>
            <w:r w:rsidR="00645FC8" w:rsidRPr="00187C12">
              <w:lastRenderedPageBreak/>
              <w:t>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4A3606">
              <w:t>02</w:t>
            </w:r>
            <w:r w:rsidRPr="00AE0FAB">
              <w:t xml:space="preserve">» </w:t>
            </w:r>
            <w:r w:rsidR="004A3606">
              <w:t>но</w:t>
            </w:r>
            <w:bookmarkStart w:id="164" w:name="_GoBack"/>
            <w:bookmarkEnd w:id="164"/>
            <w:r w:rsidR="00452766">
              <w:t>ября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3261" w:rsidRDefault="00E93261">
      <w:r>
        <w:separator/>
      </w:r>
    </w:p>
    <w:p w:rsidR="00E93261" w:rsidRDefault="00E93261"/>
  </w:endnote>
  <w:endnote w:type="continuationSeparator" w:id="0">
    <w:p w:rsidR="00E93261" w:rsidRDefault="00E93261">
      <w:r>
        <w:continuationSeparator/>
      </w:r>
    </w:p>
    <w:p w:rsidR="00E93261" w:rsidRDefault="00E932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D60" w:rsidRDefault="00986D6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986D60" w:rsidRDefault="00986D60">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986D60" w:rsidRDefault="00986D60">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D60" w:rsidRDefault="00986D6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986D60" w:rsidRDefault="00986D60">
    <w:pPr>
      <w:pStyle w:val="aff0"/>
      <w:tabs>
        <w:tab w:val="right" w:pos="9840"/>
      </w:tabs>
      <w:ind w:right="360"/>
      <w:jc w:val="center"/>
    </w:pPr>
  </w:p>
  <w:p w:rsidR="00986D60" w:rsidRDefault="00986D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3261" w:rsidRDefault="00E93261">
      <w:r>
        <w:separator/>
      </w:r>
    </w:p>
    <w:p w:rsidR="00E93261" w:rsidRDefault="00E93261"/>
  </w:footnote>
  <w:footnote w:type="continuationSeparator" w:id="0">
    <w:p w:rsidR="00E93261" w:rsidRDefault="00E93261">
      <w:r>
        <w:continuationSeparator/>
      </w:r>
    </w:p>
    <w:p w:rsidR="00E93261" w:rsidRDefault="00E93261"/>
  </w:footnote>
  <w:footnote w:id="1">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86D60" w:rsidRDefault="00986D60"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86D60" w:rsidRPr="00500502" w:rsidRDefault="00986D60"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90C"/>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1C2B"/>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606"/>
    <w:rsid w:val="004A3BA9"/>
    <w:rsid w:val="004A3C07"/>
    <w:rsid w:val="004A3E0C"/>
    <w:rsid w:val="004A4F62"/>
    <w:rsid w:val="004B068E"/>
    <w:rsid w:val="004B0814"/>
    <w:rsid w:val="004B08B9"/>
    <w:rsid w:val="004B0E40"/>
    <w:rsid w:val="004B0F27"/>
    <w:rsid w:val="004B155B"/>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20DF"/>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0AA2"/>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4C7E"/>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5B2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0206"/>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1F2F"/>
    <w:rsid w:val="00DB262B"/>
    <w:rsid w:val="00DB2CB6"/>
    <w:rsid w:val="00DB4EF3"/>
    <w:rsid w:val="00DB65CD"/>
    <w:rsid w:val="00DC0ECC"/>
    <w:rsid w:val="00DC120F"/>
    <w:rsid w:val="00DC21E9"/>
    <w:rsid w:val="00DC26DD"/>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3261"/>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002"/>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3E9D"/>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5D99FE"/>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C9F306-71C9-41C9-AC90-5680DAAC8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57</Pages>
  <Words>23317</Words>
  <Characters>132908</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41</cp:revision>
  <cp:lastPrinted>2020-10-09T09:49:00Z</cp:lastPrinted>
  <dcterms:created xsi:type="dcterms:W3CDTF">2019-07-27T14:15:00Z</dcterms:created>
  <dcterms:modified xsi:type="dcterms:W3CDTF">2020-10-22T02:11:00Z</dcterms:modified>
</cp:coreProperties>
</file>