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C61FE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C61FE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C61FE1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B17B39" w:rsidRPr="00B17B39">
        <w:rPr>
          <w:rFonts w:ascii="Times New Roman" w:eastAsia="Calibri" w:hAnsi="Times New Roman" w:cs="Times New Roman"/>
          <w:lang w:eastAsia="en-US"/>
        </w:rPr>
        <w:t>медицинские приборы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C61FE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C61FE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C61FE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2B0BA7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2B0BA7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2B0BA7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C61F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B46BA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B17B39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D1A7A" w:rsidRPr="00434928" w:rsidRDefault="00CD1A7A" w:rsidP="00B17B39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B17B39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17B39" w:rsidRPr="00B17B39">
        <w:rPr>
          <w:rFonts w:ascii="Times New Roman" w:hAnsi="Times New Roman" w:cs="Times New Roman"/>
        </w:rPr>
        <w:t>Срок гарантии на поставляемую продукцию должен быть не менее 36 месяцев</w:t>
      </w:r>
      <w:r w:rsidR="00BA5F4A">
        <w:rPr>
          <w:rFonts w:ascii="Times New Roman" w:hAnsi="Times New Roman" w:cs="Times New Roman"/>
        </w:rPr>
        <w:t>.</w:t>
      </w:r>
    </w:p>
    <w:p w:rsidR="0064315C" w:rsidRPr="00434928" w:rsidRDefault="0064315C" w:rsidP="00B17B39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B17B39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B17B39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</w:t>
      </w:r>
      <w:r w:rsidRPr="00434928">
        <w:rPr>
          <w:sz w:val="22"/>
          <w:szCs w:val="22"/>
        </w:rPr>
        <w:lastRenderedPageBreak/>
        <w:t>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8F38CE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</w:t>
      </w:r>
      <w:r w:rsidRPr="00434928">
        <w:rPr>
          <w:rFonts w:ascii="Times New Roman" w:hAnsi="Times New Roman" w:cs="Times New Roman"/>
        </w:rPr>
        <w:lastRenderedPageBreak/>
        <w:t xml:space="preserve">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B17B39">
        <w:rPr>
          <w:sz w:val="22"/>
          <w:szCs w:val="22"/>
        </w:rPr>
        <w:t>20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843"/>
        <w:gridCol w:w="3261"/>
        <w:gridCol w:w="1417"/>
        <w:gridCol w:w="709"/>
        <w:gridCol w:w="709"/>
        <w:gridCol w:w="1134"/>
        <w:gridCol w:w="1134"/>
      </w:tblGrid>
      <w:tr w:rsidR="00A77561" w:rsidRPr="0088141D" w:rsidTr="00205BE6">
        <w:tc>
          <w:tcPr>
            <w:tcW w:w="533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продукции</w:t>
            </w:r>
          </w:p>
        </w:tc>
        <w:tc>
          <w:tcPr>
            <w:tcW w:w="3261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sz w:val="18"/>
                <w:szCs w:val="18"/>
              </w:rPr>
              <w:t>Полная характеристика (комплектация) ТМЦ и оборудования</w:t>
            </w:r>
          </w:p>
        </w:tc>
        <w:tc>
          <w:tcPr>
            <w:tcW w:w="1417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77561" w:rsidRPr="00205BE6" w:rsidRDefault="00A77561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</w:t>
            </w:r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Цена,</w:t>
            </w:r>
          </w:p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</w:t>
            </w:r>
          </w:p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НДС, руб.</w:t>
            </w:r>
          </w:p>
        </w:tc>
      </w:tr>
      <w:tr w:rsidR="003D418B" w:rsidRPr="0088141D" w:rsidTr="00205BE6">
        <w:trPr>
          <w:trHeight w:val="406"/>
        </w:trPr>
        <w:tc>
          <w:tcPr>
            <w:tcW w:w="533" w:type="dxa"/>
            <w:vAlign w:val="center"/>
          </w:tcPr>
          <w:p w:rsidR="003D418B" w:rsidRPr="00205BE6" w:rsidRDefault="003D418B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3D418B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Алкотестер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Динго E 010 профессиональный</w:t>
            </w:r>
          </w:p>
        </w:tc>
        <w:tc>
          <w:tcPr>
            <w:tcW w:w="3261" w:type="dxa"/>
            <w:vAlign w:val="center"/>
          </w:tcPr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Сфера применения – профессиональное применение.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Тип датчика: электрохимический.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Продувание: с мундштуком/без мундштука.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Диапазон измерения: от 0,00 до 4,00 промилле.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Дискретность шкалы: 0,01%.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Минимальная концентрация алкоголя: 0,10%.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Время подготовки к измерению: до 60 сек.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Время установки показаний: 2 сек.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Число тестов до замены батарейки: до 500.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Рабочая температура: от 0</w:t>
            </w:r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°С</w:t>
            </w:r>
            <w:proofErr w:type="gram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до -40°С.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Температура хранения: от -40</w:t>
            </w:r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°С</w:t>
            </w:r>
            <w:proofErr w:type="gram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до +70°С.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Питание: батарейки ААА  2 шт. или АКБ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В комплекте должно быть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алкотестер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, мундштуки, 2 батарейки АА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Система русифицированных сообщений</w:t>
            </w:r>
          </w:p>
          <w:p w:rsidR="003D418B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Алкотестер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должен иметь полный набор функций профессионального аппарата, в том числе контроль силы продувания и индикацию сотых долей промилле.</w:t>
            </w:r>
          </w:p>
        </w:tc>
        <w:tc>
          <w:tcPr>
            <w:tcW w:w="1417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205BE6" w:rsidRDefault="00205BE6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205BE6">
        <w:trPr>
          <w:trHeight w:val="406"/>
        </w:trPr>
        <w:tc>
          <w:tcPr>
            <w:tcW w:w="533" w:type="dxa"/>
            <w:vAlign w:val="center"/>
          </w:tcPr>
          <w:p w:rsidR="003D418B" w:rsidRPr="00205BE6" w:rsidRDefault="003D418B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3D418B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Термометр медицинский электронный WT-05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accuracy</w:t>
            </w:r>
            <w:proofErr w:type="spellEnd"/>
          </w:p>
        </w:tc>
        <w:tc>
          <w:tcPr>
            <w:tcW w:w="3261" w:type="dxa"/>
            <w:vAlign w:val="center"/>
          </w:tcPr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Наименование: Термометр медицинский электронный WT-05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accuracy</w:t>
            </w:r>
            <w:proofErr w:type="spellEnd"/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Температура эксплуатации 10˚C ~ 40˚C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Температура хранения -10˚C ~ 60˚C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Среднее время измерения: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аксилярное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2 - 3 минуты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оральное</w:t>
            </w:r>
            <w:proofErr w:type="gram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1 минута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ректальное</w:t>
            </w:r>
            <w:proofErr w:type="gram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1 минута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Размеры 129 х 19 х 11 мм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Масса ~ 10гр (с элементом питания, без футляра)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Диапазон измерения температуры 32,0˚C ~ 43,0˚C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Рабочая влажность относительная влажность 30% ~ 85%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питания LR41 или SR41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Разрешение измерения (шаг измерения) 0,1˚C </w:t>
            </w:r>
          </w:p>
          <w:p w:rsidR="00205BE6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Точность и погрешность - погрешность ± 0,1˚C </w:t>
            </w:r>
          </w:p>
          <w:p w:rsidR="003D418B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Автоматическое выключение не более</w:t>
            </w:r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чем через 10 мин.</w:t>
            </w:r>
          </w:p>
        </w:tc>
        <w:tc>
          <w:tcPr>
            <w:tcW w:w="1417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205BE6" w:rsidRDefault="00205BE6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205BE6">
        <w:trPr>
          <w:trHeight w:val="3534"/>
        </w:trPr>
        <w:tc>
          <w:tcPr>
            <w:tcW w:w="533" w:type="dxa"/>
            <w:vAlign w:val="center"/>
          </w:tcPr>
          <w:p w:rsidR="003D418B" w:rsidRPr="00205BE6" w:rsidRDefault="003D418B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  <w:vAlign w:val="center"/>
          </w:tcPr>
          <w:p w:rsidR="003D418B" w:rsidRPr="00205BE6" w:rsidRDefault="00205BE6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Тонометр OMRON M2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Classic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цифровой, автоматический</w:t>
            </w:r>
          </w:p>
        </w:tc>
        <w:tc>
          <w:tcPr>
            <w:tcW w:w="3261" w:type="dxa"/>
            <w:vAlign w:val="center"/>
          </w:tcPr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Наименование прибора: цифровой автоматический измеритель артериального давления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Модель</w:t>
            </w:r>
            <w:r w:rsidRPr="00205B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Omron M2 Classic (HEM-7122-ALRU)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интеллектуального измерения: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Intellisense</w:t>
            </w:r>
            <w:proofErr w:type="spellEnd"/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Способ измерения: осциллометрический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Экран: высококонтрастный матричный жидкокристаллический дисплей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Диапазон измерений давления: 0-299 мм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рт.ст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., частоты пульса: 40-180 ударов/мин.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погрешность измерения давление: не более 3 мм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рт.ст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., частота пульса: не более 5%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Клинически апробирован: Да, IP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Манжета в комплекте: Универсальная компрессионная манжета нового поколения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Easy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Cuff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, модель HEM-RML31, для рук с длиной окружности плеча от 22 до 42 см.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Возможность использования большой манжеты (32-42 см): Есть, манжета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SL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Возможность использования детской манжеты (17-22 см): Есть, манжета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CS2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Индикатор аритмии: Есть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Индикатор движения: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Индикатор повышенного давления: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Графический индикатор уровня АД: Есть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Индикатор правильной фиксации манжеты: Есть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Датчик правильного положения руки: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Индикатор утренней гипертензии: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Индикатор двойной проверки точности: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Звуковой сигнал (Отключаемая функция):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Расчет среднего значения последних измерений: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Запись даты/времени измерения: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Подсветка экрана: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Подключения к компьютеру: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Память для 2-х пользователей: Нет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Сетевой адаптер в комплекте: Есть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Вес электронного блока (без элементов питания): 255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Размеры электронного блока: 129 X 103 X 80 мм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Память: 60 измерений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Нагнетание воздуха: автоматическое с помощью воздушного электрического компрессора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Выпуск воздуха: автоматический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Условия эксплуатации: температура воздуха от +10˚C до +40˚C при относительной влажности от 30% до 85%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Условия хранения: температура воздуха от -20˚C до +60˚C при относительной влажности от 10% до 95%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Питание: 4 элемента AA (пальчиковые </w:t>
            </w:r>
            <w:r w:rsidRPr="00205B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батарейки) и сетевой мини-адаптер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AC-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Adapter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S</w:t>
            </w:r>
            <w:proofErr w:type="gramEnd"/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Срок службы элементов питания: прибл. 1000 измерений с частотой два измерения в день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Срок службы электронного блока: 10 лет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Срок службы манжеты: 1 год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Гарантия: 5 лет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Комплектация: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блок тонометра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M2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Classic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(HEM 7122-ALRU)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Универсальная компрессионная манжета нового поколения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Easy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Cuff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, модель HEM-RML31, (22-42 см.)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Сетевой</w:t>
            </w:r>
            <w:proofErr w:type="gram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мини-адаптер </w:t>
            </w:r>
            <w:proofErr w:type="spell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 xml:space="preserve"> S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Руководство по эксплуатации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Чехол для хранения прибора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Комплект элементов питания</w:t>
            </w:r>
          </w:p>
          <w:p w:rsidR="00B17B39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Гарантийный талон</w:t>
            </w:r>
          </w:p>
          <w:p w:rsidR="003D418B" w:rsidRPr="00205BE6" w:rsidRDefault="00B17B39" w:rsidP="00205B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Журнал для записи артериального давления</w:t>
            </w:r>
          </w:p>
        </w:tc>
        <w:tc>
          <w:tcPr>
            <w:tcW w:w="1417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205BE6" w:rsidRDefault="00B17B39" w:rsidP="00205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BE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205BE6" w:rsidRDefault="003D418B" w:rsidP="0020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561" w:rsidRPr="0088141D" w:rsidTr="00AF2C80">
        <w:tc>
          <w:tcPr>
            <w:tcW w:w="533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77561" w:rsidRPr="00205BE6" w:rsidRDefault="00A77561" w:rsidP="00205B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42B19" w:rsidRPr="0088141D" w:rsidRDefault="00342B19" w:rsidP="00B1267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B17B39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Срок поставки: </w:t>
      </w:r>
      <w:r w:rsidR="00162F1D" w:rsidRPr="00162F1D">
        <w:rPr>
          <w:sz w:val="22"/>
          <w:szCs w:val="22"/>
        </w:rPr>
        <w:t>в течение 30 календарных дней</w:t>
      </w:r>
      <w:r>
        <w:rPr>
          <w:sz w:val="22"/>
          <w:szCs w:val="22"/>
        </w:rPr>
        <w:t xml:space="preserve"> c даты заключения</w:t>
      </w:r>
      <w:r w:rsidR="00162F1D" w:rsidRPr="00162F1D">
        <w:rPr>
          <w:sz w:val="22"/>
          <w:szCs w:val="22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37" w:rsidRDefault="00CD1C37" w:rsidP="00F62FCC">
      <w:pPr>
        <w:spacing w:after="0" w:line="240" w:lineRule="auto"/>
      </w:pPr>
      <w:r>
        <w:separator/>
      </w:r>
    </w:p>
  </w:endnote>
  <w:endnote w:type="continuationSeparator" w:id="0">
    <w:p w:rsidR="00CD1C37" w:rsidRDefault="00CD1C3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BA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37" w:rsidRDefault="00CD1C37" w:rsidP="00F62FCC">
      <w:pPr>
        <w:spacing w:after="0" w:line="240" w:lineRule="auto"/>
      </w:pPr>
      <w:r>
        <w:separator/>
      </w:r>
    </w:p>
  </w:footnote>
  <w:footnote w:type="continuationSeparator" w:id="0">
    <w:p w:rsidR="00CD1C37" w:rsidRDefault="00CD1C3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05BE6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0BA7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17B39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1FE1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1C37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2C7D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92C57-7E63-4BC9-A94C-7A17EAF8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10</Pages>
  <Words>4123</Words>
  <Characters>23503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135</cp:revision>
  <dcterms:created xsi:type="dcterms:W3CDTF">2019-06-21T03:58:00Z</dcterms:created>
  <dcterms:modified xsi:type="dcterms:W3CDTF">2020-10-19T08:43:00Z</dcterms:modified>
</cp:coreProperties>
</file>